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firstLine="20"/>
        <w:jc w:val="right"/>
        <w:rPr>
          <w:rFonts w:ascii="Times New Roman" w:hAnsi="Times New Roman"/>
          <w:i w:val="1"/>
          <w:sz w:val="26"/>
          <w:szCs w:val="26"/>
        </w:rPr>
      </w:pPr>
      <w:r>
        <w:rPr>
          <w:rFonts w:ascii="Times New Roman" w:hAnsi="Times New Roman"/>
          <w:i w:val="1"/>
          <w:sz w:val="26"/>
          <w:szCs w:val="26"/>
        </w:rPr>
        <w:t>Додаток</w:t>
      </w:r>
    </w:p>
    <w:p>
      <w:pPr>
        <w:ind w:firstLine="20"/>
        <w:jc w:val="center"/>
        <w:rPr>
          <w:rFonts w:ascii="Times New Roman" w:hAnsi="Times New Roman"/>
          <w:b w:val="1"/>
          <w:sz w:val="26"/>
          <w:szCs w:val="26"/>
        </w:rPr>
      </w:pPr>
    </w:p>
    <w:p>
      <w:pPr>
        <w:ind w:firstLine="20"/>
        <w:jc w:val="center"/>
        <w:rPr>
          <w:rFonts w:ascii="Times New Roman" w:hAnsi="Times New Roman"/>
          <w:b w:val="1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 w:val="1"/>
          <w:sz w:val="26"/>
          <w:szCs w:val="26"/>
        </w:rPr>
        <w:t>ДОВІДКА</w:t>
      </w:r>
    </w:p>
    <w:p>
      <w:pPr>
        <w:ind w:firstLine="20"/>
        <w:jc w:val="center"/>
        <w:rPr>
          <w:rFonts w:ascii="Times New Roman" w:hAnsi="Times New Roman"/>
          <w:b w:val="1"/>
          <w:sz w:val="26"/>
          <w:szCs w:val="26"/>
        </w:rPr>
      </w:pPr>
      <w:r>
        <w:rPr>
          <w:rFonts w:ascii="Times New Roman" w:hAnsi="Times New Roman"/>
          <w:b w:val="1"/>
          <w:sz w:val="26"/>
          <w:szCs w:val="26"/>
        </w:rPr>
        <w:t>щодо відповідності проекту Закону України «Про внесення змін до статті 161 Кримінального кодексу України щодо встановлення відповідальності за українофобію» зобов’язанням України у сфері європейської інтеграції, зокрема міжнародно-правовим, та праву Європейського Союзу (acquis ЄС)</w:t>
      </w:r>
    </w:p>
    <w:p>
      <w:pPr>
        <w:ind w:firstLine="20"/>
        <w:jc w:val="center"/>
        <w:rPr>
          <w:rFonts w:ascii="Times New Roman" w:hAnsi="Times New Roman"/>
          <w:i w:val="1"/>
          <w:sz w:val="26"/>
          <w:szCs w:val="26"/>
        </w:rPr>
      </w:pPr>
      <w:r>
        <w:rPr>
          <w:rFonts w:ascii="Times New Roman" w:hAnsi="Times New Roman"/>
          <w:i w:val="1"/>
          <w:sz w:val="26"/>
          <w:szCs w:val="26"/>
        </w:rPr>
        <w:t>(далі – проект Закону)</w:t>
      </w:r>
      <w:r>
        <w:rPr>
          <w:rFonts w:ascii="Times New Roman" w:hAnsi="Times New Roman"/>
          <w:i w:val="1"/>
          <w:sz w:val="26"/>
          <w:szCs w:val="26"/>
        </w:rPr>
        <w:br w:type="textWrapping"/>
      </w:r>
      <w:r>
        <w:rPr>
          <w:rFonts w:ascii="Times New Roman" w:hAnsi="Times New Roman"/>
          <w:i w:val="1"/>
          <w:sz w:val="26"/>
          <w:szCs w:val="26"/>
        </w:rPr>
        <w:t>(реєстраційний № 15186 від 22 квітня 2026 року)</w:t>
      </w:r>
    </w:p>
    <w:p>
      <w:pPr>
        <w:jc w:val="both"/>
        <w:rPr>
          <w:sz w:val="26"/>
          <w:szCs w:val="26"/>
        </w:rPr>
      </w:pP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Відповідно до пояснювальної записки проект Закону розроблено з метою створення ефективного законодавства, яке криміналізує українофобію як один з методів гібридної війни проти України, посилення інформаційної стійкості держави та забезпечення правового захисту Української Державності, мови та культури як фундаментальних основ конституційного ладу.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Законопроект передбачає доповнення статті 161 Кримінального кодексу України положеннями, за якими прояви українофобії визнаються кримінальним правопорушенням. Додатково в примітці визначаються дії, які міститимуть склад кримінального правопорушення і які враховують ознаки, встановлені пунктом 6 статті 2 Закону України від 21 березня 2023 року № 3005-IX «Про засудження та заборону пропаганди російської імперської політики в Україні і деколонізацію топонімії» </w:t>
      </w:r>
      <w:r>
        <w:rPr>
          <w:color w:val="000000"/>
          <w:sz w:val="26"/>
          <w:szCs w:val="26"/>
        </w:rPr>
        <w:t>(далі – Закон № 3005-IX).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Відповідно до положень Закону № 3005-IX українофобія визначається як дискримінаційні дії, публічно висловлені заклики, у тому числі в медіа, у літературних та мистецьких творах, що заперечують суб’єктність Української держави, української нації, боротьбу проти підкорення, експлуатації, асиміляції Українського народу, а також правомірність захисту політичних, економічних, культурних прав Українського народу, розвитку української національної державності, науки, культури, зневажають питомі етнокультурні ознаки українців, ігнорують українську мову та культуру.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 цьому зв’язку доцільно зазначити, що у міжнародній та європейській практиці сформовано підходи до визначення окремих форм нетерпимості, зокрема антисемітизму, боротьба з яким є предметом міжнародних зобов’язань держав та послідовної політики Європейського Союзу і держав — членів.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 цьому контексті розвиток національного законодавства у сфері протидії проявам нетерпимості, зокрема у національному контексті, може розглядатися як такий, що узгоджується із загальним підходом щодо забезпечення належного захисту гідності, прав та ідентичності осіб і груп</w:t>
      </w:r>
      <w:r>
        <w:rPr>
          <w:smallCaps w:val="0"/>
          <w:color w:val="000000"/>
          <w:sz w:val="26"/>
          <w:szCs w:val="22"/>
          <w:cs w:val="0"/>
          <w:spacing w:val="0"/>
          <w:w w:val="100"/>
          <w:position w:val="0"/>
          <w:snapToGrid w:val="1"/>
        </w:rPr>
        <w:t xml:space="preserve"> т</w:t>
      </w:r>
      <w:r>
        <w:rPr>
          <w:color w:val="000000"/>
          <w:sz w:val="26"/>
          <w:szCs w:val="26"/>
        </w:rPr>
        <w:t>а спрямовані на доповнення існуючих механізмів протидії дискримінації та нетерпимості.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 предметом правового регулювання законопроект охоплюється зобов’язаннями у рамках: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(далі – Угода про асоціацію);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Договору про Європейський Союз (2012/С 326/01);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Хартії Європейського Союзу про основні права 2000 р.;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Європейської конвенції з прав людини;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Рамкового рішення Ради ЄС 2008/913/JHA від 28 листопада 2008 року про боротьбу з певними формами та проявами расизму та ксенофобії засобами кримінального права;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Дорожньої карти з питань верховенства права (розпорядження Кабінету Міністрів України від 14 травня 2025 року № 475).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Дискримінація в усіх її можливих формах та проявах є однією з найбільш поширених форм насильства та порушення прав людини. Тому принцип недискримінації є фундаментальним правовим принципом європейського та міжнародного права у сфері прав людини.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Відповідно до статті 2 Договору про Європейський Союз, Союз ґрунтується на цінностях поваги до людської гідності, свободи, демократії, рівності, верховенства права та поваги до прав людини. Ці цінності є спільними для держав-членів у суспільстві, в якому панують плюралізм, недискримінація, толерантність, справедливість, солідарність.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Стаття 19 Договору про функціонування Європейського Союзу передбачає можливість вжиття заходів для боротьби з дискримінацією за ознаками статі, расового чи етнічного походження, релігії чи переконань, інвалідності, віку чи сексуальної орієнтації.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Статтею 2 Угоди про асоціацію теж закріплено цінності поваги до демократичних принципів, а також зазначено про те, що повага до принципу верховенства права має повинна формувати основу внутрішньої та зовнішньої політики Сторін і є основними елементами цієї Угоди. Метою політичного діалогу визначено, зокрема зміцнення поваги до демократичних принципів, верховенства права та доброго врядування (стаття 4 Угоди про асоціацію).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 статті 21 Хартії Європейського Союзу про основні права встановлено заборону дискримінації за широким переліком ознак.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Конвенція про захист прав людини і основоположних свобод (стаття 14, далі — ЄКПЛ) та Протокол № 12 до неї встановлюють принцип недискримінації як елемент захисту прав і свобод людини.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Також, одним з ключових документів ЄС у сфері щодо правопорушень з мотивів нетерпимості є Рамкове рішення Ради ЄС 2008/913/JHA від 28 листопада 2008 року про боротьбу з певними формами та проявами расизму та ксенофобії засобами кримінального права. Зближення кримінального законодавства має призвести до більш ефективної боротьби з расистськими та ксенофобськими злочинами шляхом сприяння повній та ефективній судовій співпраці між державами-членами.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Кожна держава-член вживає необхідних заходів для забезпечення того, щоб такі навмисні дії були покараними, зокрема і щодо публічного підбурювання до насильства або ненависті, спрямованих проти групи осіб або члена такої групи, що визначається за ознакою раси, кольору шкіри, релігії, походження або національного чи етнічного походження.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чином, у праві ЄС сформовано підхід, відповідно до якого криміналізація найбільш небезпечних форм нетерпимості є елементом системи захисту основоположних прав і свобод.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Дорожня карта з питань верховенства права, яка є одним з трансформаційних документів євроінтеграції, визначає конкретні кроки, завдання та орієнтири для зміцнення верховенства права в державі. Серед завдань, передбачених даним документом, є «Розроблення та прийняття закону про внесення змін до Кримінального кодексу України, спрямованих на: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визначення вчинення кримінального правопорушення з мотивів нетерпимості (включаючи расизм та ксенофобію) як обтяжуючої обставини;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закріплення кримінальної відповідальності за публічні заклики до насильства з мотивів нетерпимості (включаючи расизм та ксенофобію), у тому числі для юридичних осіб;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встановлення кримінальної відповідальності за ввезення, виготовлення або розповсюдження матеріалів, що пропагують нетерпимість або дискримінацію» (3.4.1.1 ІІІ. Основоположні права).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умовах триваючої агресії проти України, коли суспільство зазнає значного напруження, посилення правових гарантій недискримінації та протидії нетерпимості набуває особливої ваги для консолідації суспільства та забезпечення захисту прав кожної особи.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 контексті викладених підходів проект Закону може розглядатися як такий, що спрямований на розвиток національних механізмів протидії проявам українофобії у межах загальноєвропейської тенденції посилення захисту від hate speech та дискримінації.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Водночас </w:t>
      </w:r>
      <w:r>
        <w:rPr>
          <w:smallCaps w:val="0"/>
          <w:color w:val="000000"/>
          <w:sz w:val="26"/>
          <w:szCs w:val="22"/>
          <w:cs w:val="0"/>
          <w:spacing w:val="0"/>
          <w:w w:val="100"/>
          <w:position w:val="0"/>
          <w:snapToGrid w:val="1"/>
        </w:rPr>
        <w:t xml:space="preserve">у </w:t>
      </w:r>
      <w:r>
        <w:rPr>
          <w:color w:val="000000"/>
          <w:sz w:val="26"/>
          <w:szCs w:val="26"/>
        </w:rPr>
        <w:t>межах подальшого опрацювання проекту Закону</w:t>
      </w:r>
      <w:r>
        <w:rPr>
          <w:color w:val="000000"/>
          <w:sz w:val="26"/>
          <w:szCs w:val="26"/>
        </w:rPr>
        <w:t xml:space="preserve"> доцільним </w:t>
      </w:r>
      <w:r>
        <w:rPr>
          <w:smallCaps w:val="0"/>
          <w:color w:val="000000"/>
          <w:sz w:val="26"/>
          <w:szCs w:val="22"/>
          <w:cs w:val="0"/>
          <w:spacing w:val="0"/>
          <w:w w:val="100"/>
          <w:position w:val="0"/>
          <w:snapToGrid w:val="1"/>
        </w:rPr>
        <w:t>є </w:t>
      </w:r>
      <w:r>
        <w:rPr>
          <w:color w:val="000000"/>
          <w:sz w:val="26"/>
          <w:szCs w:val="26"/>
        </w:rPr>
        <w:t xml:space="preserve">врахування підходів щодо забезпечення збалансованості між цілями протидії дискримінації та гарантіями свободи вираження поглядів, передбаченими </w:t>
      </w:r>
      <w:r>
        <w:rPr>
          <w:color w:val="000000"/>
          <w:sz w:val="26"/>
          <w:szCs w:val="26"/>
        </w:rPr>
        <w:t>статтею 10 ЄКПЛ та статтею 11 Хартії Європейського Союзу про основні права. У цьому контексті релевантною є також практика Європейського суду з прав людини, яка визначає, що втручання у свободу вираження поглядів, зокрема шляхом встановлення кримінальної відповідальності, має відповідати критеріям законності, легітимної мети та необхідності у демократичному суспільстві.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Крім того, в контексті зобов’язань України у сфері європейської інтеграції важливо враховувати принцип правової визначеності як складову верховенства права, закріпленого, зокрема, у статті 49 Хартії Європейського Союзу про основні права. Зазначений принцип передбачає, що норми кримінального права мають бути достатньо чіткими та передбачуваними для забезпечення належного розуміння їх змісту та застосування.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 цьому зв’язку окремі положення проекту Закону можуть бути додатково узгоджені редакційно з метою забезпечення їх більш чіткої визначеності та послідовності правозастосування.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Враховуючи викладене, проект Закону в цілому не суперечить міжнародно-правовим зобов’язанням України у сфері європейської інтеграції та може розглядатися як такий, що відповідає відповідним підходам до визначення окремих форм нетерпимості та боротьби з ними, з урахуванням зазначених</w:t>
      </w:r>
      <w:r>
        <w:rPr>
          <w:smallCaps w:val="0"/>
          <w:color w:val="000000"/>
          <w:sz w:val="26"/>
          <w:szCs w:val="22"/>
          <w:cs w:val="0"/>
          <w:spacing w:val="0"/>
          <w:w w:val="100"/>
          <w:position w:val="0"/>
          <w:snapToGrid w:val="1"/>
        </w:rPr>
        <w:t xml:space="preserve"> вище</w:t>
      </w:r>
      <w:r>
        <w:rPr>
          <w:color w:val="000000"/>
          <w:sz w:val="26"/>
          <w:szCs w:val="26"/>
        </w:rPr>
        <w:t xml:space="preserve"> аспектів.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>
      <w:pPr>
        <w:pStyle w:val="P3"/>
        <w:spacing w:before="0" w:after="0" w:beforeAutospacing="0" w:afterAutospacing="0"/>
        <w:ind w:firstLine="567"/>
        <w:jc w:val="both"/>
        <w:rPr>
          <w:color w:val="000000"/>
          <w:sz w:val="26"/>
          <w:szCs w:val="26"/>
        </w:rPr>
      </w:pPr>
    </w:p>
    <w:sectPr>
      <w:headerReference w:type="default" r:id="RelHdr1"/>
      <w:footnotePr/>
      <w:endnotePr/>
      <w:type w:val="nextPage"/>
      <w:pgSz w:w="11906" w:h="16838" w:code="0"/>
      <w:pgMar w:left="1417" w:right="850" w:top="568" w:bottom="850" w:header="708" w:footer="708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</w:pPr>
    </w:p>
  </w:endnote>
  <w:endnote w:type="continuationSeparator" w:id="0">
    <w:p>
      <w:pPr>
        <w:spacing w:lineRule="auto" w:line="240" w:beforeAutospacing="0" w:afterAutospacing="0"/>
      </w:pPr>
    </w:p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</w:pPr>
    </w:p>
  </w:footnote>
  <w:footnote w:type="continuationSeparator" w:id="0">
    <w:p>
      <w:pPr>
        <w:spacing w:lineRule="auto" w:line="240" w:beforeAutospacing="0" w:afterAutospacing="0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4"/>
    </w:pPr>
  </w:p>
</w:hdr>
</file>

<file path=word/numbering.xml><?xml version="1.0" encoding="utf-8"?>
<w:numbering xmlns:w="http://schemas.openxmlformats.org/wordprocessingml/2006/main">
  <w:abstractNum w:abstractNumId="0">
    <w:nsid w:val="23D14CBF"/>
    <w:multiLevelType w:val="hybridMultilevel"/>
    <w:lvl w:ilvl="0" w:tplc="E3084A68">
      <w:start w:val="0"/>
      <w:numFmt w:val="bullet"/>
      <w:suff w:val="tab"/>
      <w:lvlText w:val="-"/>
      <w:lvlJc w:val="left"/>
      <w:pPr>
        <w:ind w:hanging="360" w:left="856"/>
      </w:pPr>
      <w:rPr>
        <w:rFonts w:ascii="Times New Roman" w:hAnsi="Times New Roman"/>
        <w:color w:val="000000"/>
        <w:sz w:val="20"/>
      </w:rPr>
    </w:lvl>
    <w:lvl w:ilvl="1" w:tplc="04220003">
      <w:start w:val="1"/>
      <w:numFmt w:val="bullet"/>
      <w:suff w:val="tab"/>
      <w:lvlText w:val="o"/>
      <w:lvlJc w:val="left"/>
      <w:pPr>
        <w:ind w:hanging="360" w:left="1576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296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016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736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456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176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896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616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  <w:spacing w:after="0" w:beforeAutospacing="0" w:afterAutospacing="0"/>
    </w:pPr>
    <w:rPr>
      <w:lang w:eastAsia="uk-UA"/>
    </w:rPr>
  </w:style>
  <w:style w:type="paragraph" w:styleId="P1">
    <w:name w:val="Heading 1"/>
    <w:basedOn w:val="P0"/>
    <w:next w:val="P0"/>
    <w:link w:val="C14"/>
    <w:qFormat/>
    <w:pPr>
      <w:keepNext w:val="1"/>
      <w:keepLines w:val="1"/>
      <w:spacing w:before="240" w:beforeAutospacing="0" w:afterAutospacing="0"/>
      <w:outlineLvl w:val="0"/>
    </w:pPr>
    <w:rPr>
      <w:color w:val="2E75B5" w:themeColor="accent1" w:themeShade="BF"/>
      <w:sz w:val="32"/>
      <w:szCs w:val="32"/>
    </w:rPr>
  </w:style>
  <w:style w:type="paragraph" w:styleId="P2">
    <w:name w:val="Heading 2"/>
    <w:basedOn w:val="P0"/>
    <w:next w:val="P0"/>
    <w:link w:val="C3"/>
    <w:semiHidden/>
    <w:qFormat/>
    <w:pPr>
      <w:keepNext w:val="1"/>
      <w:keepLines w:val="1"/>
      <w:spacing w:before="40" w:beforeAutospacing="0" w:afterAutospacing="0"/>
      <w:outlineLvl w:val="1"/>
    </w:pPr>
    <w:rPr>
      <w:color w:val="2E75B5" w:themeColor="accent1" w:themeShade="BF"/>
      <w:sz w:val="26"/>
      <w:szCs w:val="26"/>
    </w:rPr>
  </w:style>
  <w:style w:type="paragraph" w:styleId="P3">
    <w:name w:val="Normal (Web)"/>
    <w:basedOn w:val="P0"/>
    <w:semiHidden/>
    <w:pPr>
      <w:widowControl w:val="1"/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4">
    <w:name w:val="Header"/>
    <w:basedOn w:val="P0"/>
    <w:link w:val="C4"/>
    <w:pPr>
      <w:tabs>
        <w:tab w:val="center" w:pos="4819" w:leader="none"/>
        <w:tab w:val="right" w:pos="9639" w:leader="none"/>
      </w:tabs>
      <w:spacing w:lineRule="auto" w:line="240" w:beforeAutospacing="0" w:afterAutospacing="0"/>
    </w:pPr>
    <w:rPr/>
  </w:style>
  <w:style w:type="paragraph" w:styleId="P5">
    <w:name w:val="Footer"/>
    <w:basedOn w:val="P0"/>
    <w:link w:val="C5"/>
    <w:pPr>
      <w:tabs>
        <w:tab w:val="center" w:pos="4819" w:leader="none"/>
        <w:tab w:val="right" w:pos="9639" w:leader="none"/>
      </w:tabs>
      <w:spacing w:lineRule="auto" w:line="240" w:beforeAutospacing="0" w:afterAutospacing="0"/>
    </w:pPr>
    <w:rPr/>
  </w:style>
  <w:style w:type="paragraph" w:styleId="P6">
    <w:name w:val="Footnote Text"/>
    <w:link w:val="C7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7">
    <w:name w:val="Endnote Text"/>
    <w:link w:val="C9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8">
    <w:name w:val="Balloon Text"/>
    <w:basedOn w:val="P0"/>
    <w:link w:val="C12"/>
    <w:semiHidden/>
    <w:pPr>
      <w:spacing w:lineRule="auto" w:line="240" w:beforeAutospacing="0" w:afterAutospacing="0"/>
    </w:pPr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2 Знак"/>
    <w:basedOn w:val="C0"/>
    <w:link w:val="P2"/>
    <w:semiHidden/>
    <w:rPr>
      <w:color w:val="2E75B5" w:themeColor="accent1" w:themeShade="BF"/>
      <w:sz w:val="26"/>
      <w:szCs w:val="26"/>
      <w:lang w:eastAsia="uk-UA"/>
    </w:rPr>
  </w:style>
  <w:style w:type="character" w:styleId="C4">
    <w:name w:val="Верхній колонтитул Знак"/>
    <w:basedOn w:val="C0"/>
    <w:link w:val="P4"/>
    <w:rPr>
      <w:rFonts w:ascii="Calibri" w:hAnsi="Calibri"/>
      <w:lang w:eastAsia="uk-UA"/>
    </w:rPr>
  </w:style>
  <w:style w:type="character" w:styleId="C5">
    <w:name w:val="Нижній колонтитул Знак"/>
    <w:basedOn w:val="C0"/>
    <w:link w:val="P5"/>
    <w:rPr>
      <w:rFonts w:ascii="Calibri" w:hAnsi="Calibri"/>
      <w:lang w:eastAsia="uk-UA"/>
    </w:rPr>
  </w:style>
  <w:style w:type="character" w:styleId="C6">
    <w:name w:val="Footnote Reference"/>
    <w:semiHidden/>
    <w:rPr>
      <w:vertAlign w:val="superscript"/>
    </w:rPr>
  </w:style>
  <w:style w:type="character" w:styleId="C7">
    <w:name w:val="Текст виноски Знак"/>
    <w:link w:val="P6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Текст кінцевої виноски Знак"/>
    <w:link w:val="P7"/>
    <w:semiHidden/>
    <w:rPr>
      <w:sz w:val="20"/>
      <w:szCs w:val="20"/>
    </w:rPr>
  </w:style>
  <w:style w:type="character" w:styleId="C10">
    <w:name w:val="Footnote Text Char"/>
    <w:semiHidden/>
    <w:rPr>
      <w:sz w:val="20"/>
      <w:szCs w:val="20"/>
    </w:rPr>
  </w:style>
  <w:style w:type="character" w:styleId="C11">
    <w:name w:val="Endnote Text Char"/>
    <w:semiHidden/>
    <w:rPr>
      <w:sz w:val="20"/>
      <w:szCs w:val="20"/>
    </w:rPr>
  </w:style>
  <w:style w:type="character" w:styleId="C12">
    <w:name w:val="Текст у виносці Знак"/>
    <w:basedOn w:val="C0"/>
    <w:link w:val="P8"/>
    <w:semiHidden/>
    <w:rPr>
      <w:rFonts w:ascii="Segoe UI" w:hAnsi="Segoe UI"/>
      <w:sz w:val="18"/>
      <w:szCs w:val="18"/>
      <w:lang w:eastAsia="uk-UA"/>
    </w:rPr>
  </w:style>
  <w:style w:type="character" w:styleId="C13">
    <w:name w:val="whitespace-normal"/>
    <w:basedOn w:val="C0"/>
    <w:rPr/>
  </w:style>
  <w:style w:type="character" w:styleId="C14">
    <w:name w:val="Заголовок 1 Знак"/>
    <w:basedOn w:val="C0"/>
    <w:link w:val="P1"/>
    <w:rPr>
      <w:color w:val="2E75B5" w:themeColor="accent1" w:themeShade="BF"/>
      <w:sz w:val="32"/>
      <w:szCs w:val="32"/>
      <w:lang w:eastAsia="uk-UA"/>
    </w:rPr>
  </w:style>
  <w:style w:type="character" w:styleId="C15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4203-48a9-45df-aa20-34600dff31b6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2026-05-06T12:48:00Z</dcterms:created>
  <cp:lastPrinted>2026-05-06T10:23:00Z</cp:lastPrinted>
  <dcterms:modified xsi:type="dcterms:W3CDTF">2026-05-13T06:08:18Z</dcterms:modified>
  <cp:revision>4</cp:revision>
</cp:coreProperties>
</file>