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firstLine="0"/>
        <w:rPr>
          <w:sz w:val="27"/>
          <w:szCs w:val="27"/>
        </w:rPr>
      </w:pPr>
      <w:r>
        <w:rPr>
          <w:noProof w:val="1"/>
          <w:sz w:val="27"/>
          <w:szCs w:val="27"/>
          <w:lang w:eastAsia="uk-UA"/>
        </w:rPr>
        <w:drawing>
          <wp:inline xmlns:wp="http://schemas.openxmlformats.org/drawingml/2006/wordprocessingDrawing" distT="0" distB="0" distL="0" distR="0">
            <wp:extent cx="5998210" cy="161671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61671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>
      <w:pPr>
        <w:rPr>
          <w:sz w:val="27"/>
          <w:szCs w:val="27"/>
        </w:rPr>
      </w:pPr>
    </w:p>
    <w:tbl>
      <w:tblPr>
        <w:tblStyle w:val="T2"/>
        <w:tblW w:w="0" w:type="auto"/>
        <w:tblInd w:w="988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>
        <w:gridCol w:w="3237"/>
        <w:gridCol w:w="3963"/>
      </w:tblGrid>
      <w:tr>
        <w:tc>
          <w:tcPr>
            <w:tcW w:w="3974" w:type="dxa"/>
          </w:tcPr>
          <w:p>
            <w:pPr>
              <w:ind w:firstLine="0"/>
              <w:rPr>
                <w:b w:val="1"/>
                <w:bCs w:val="1"/>
                <w:sz w:val="27"/>
                <w:szCs w:val="27"/>
              </w:rPr>
            </w:pPr>
          </w:p>
          <w:p>
            <w:pPr>
              <w:ind w:firstLine="0"/>
              <w:rPr>
                <w:b w:val="1"/>
                <w:bCs w:val="1"/>
                <w:sz w:val="27"/>
                <w:szCs w:val="27"/>
              </w:rPr>
            </w:pPr>
          </w:p>
          <w:p>
            <w:pPr>
              <w:ind w:firstLine="0"/>
              <w:rPr>
                <w:b w:val="1"/>
                <w:bCs w:val="1"/>
                <w:sz w:val="27"/>
                <w:szCs w:val="27"/>
              </w:rPr>
            </w:pPr>
          </w:p>
          <w:p>
            <w:pPr>
              <w:ind w:firstLine="0"/>
              <w:rPr>
                <w:b w:val="1"/>
                <w:bCs w:val="1"/>
                <w:sz w:val="27"/>
                <w:szCs w:val="27"/>
              </w:rPr>
            </w:pPr>
          </w:p>
          <w:p>
            <w:pPr>
              <w:ind w:firstLine="0"/>
              <w:rPr>
                <w:b w:val="1"/>
                <w:bCs w:val="1"/>
                <w:sz w:val="27"/>
                <w:szCs w:val="27"/>
              </w:rPr>
            </w:pPr>
          </w:p>
          <w:p>
            <w:pPr>
              <w:ind w:firstLine="0"/>
              <w:jc w:val="right"/>
              <w:rPr>
                <w:b w:val="1"/>
                <w:bCs w:val="1"/>
                <w:sz w:val="27"/>
                <w:szCs w:val="27"/>
              </w:rPr>
            </w:pPr>
          </w:p>
          <w:p>
            <w:pPr>
              <w:ind w:firstLine="0"/>
              <w:jc w:val="right"/>
              <w:rPr>
                <w:bCs w:val="1"/>
                <w:sz w:val="27"/>
                <w:szCs w:val="27"/>
              </w:rPr>
            </w:pPr>
            <w:r>
              <w:rPr>
                <w:bCs w:val="1"/>
                <w:sz w:val="27"/>
                <w:szCs w:val="27"/>
              </w:rPr>
              <w:t>копія:</w:t>
            </w:r>
          </w:p>
        </w:tc>
        <w:tc>
          <w:tcPr>
            <w:tcW w:w="4536" w:type="dxa"/>
          </w:tcPr>
          <w:p>
            <w:pPr>
              <w:ind w:firstLine="0"/>
              <w:jc w:val="left"/>
              <w:rPr>
                <w:b w:val="1"/>
                <w:bCs w:val="1"/>
                <w:sz w:val="27"/>
                <w:szCs w:val="27"/>
              </w:rPr>
            </w:pPr>
            <w:r>
              <w:rPr>
                <w:b w:val="1"/>
                <w:bCs w:val="1"/>
                <w:sz w:val="27"/>
                <w:szCs w:val="27"/>
              </w:rPr>
              <w:t xml:space="preserve">Голові Комітету Верховної Ради   України з питань правоохоронної діяльності</w:t>
            </w:r>
          </w:p>
          <w:p>
            <w:pPr>
              <w:ind w:firstLine="0"/>
              <w:jc w:val="left"/>
              <w:rPr>
                <w:b w:val="1"/>
                <w:bCs w:val="1"/>
                <w:sz w:val="27"/>
                <w:szCs w:val="27"/>
              </w:rPr>
            </w:pPr>
          </w:p>
          <w:p>
            <w:pPr>
              <w:ind w:firstLine="0"/>
              <w:jc w:val="left"/>
              <w:rPr>
                <w:b w:val="1"/>
                <w:bCs w:val="1"/>
                <w:sz w:val="27"/>
                <w:szCs w:val="27"/>
              </w:rPr>
            </w:pPr>
            <w:r>
              <w:rPr>
                <w:b w:val="1"/>
                <w:bCs w:val="1"/>
                <w:sz w:val="27"/>
                <w:szCs w:val="27"/>
              </w:rPr>
              <w:t>ІОНУШАСУ С. К.</w:t>
            </w:r>
          </w:p>
          <w:p>
            <w:pPr>
              <w:ind w:firstLine="0"/>
              <w:jc w:val="left"/>
              <w:rPr>
                <w:b w:val="1"/>
                <w:bCs w:val="1"/>
                <w:sz w:val="27"/>
                <w:szCs w:val="27"/>
              </w:rPr>
            </w:pPr>
          </w:p>
          <w:p>
            <w:pPr>
              <w:ind w:firstLine="0"/>
              <w:jc w:val="left"/>
              <w:rPr>
                <w:b w:val="1"/>
                <w:bCs w:val="1"/>
                <w:sz w:val="27"/>
                <w:szCs w:val="27"/>
              </w:rPr>
            </w:pPr>
            <w:r>
              <w:rPr>
                <w:b w:val="1"/>
                <w:bCs w:val="1"/>
                <w:sz w:val="27"/>
                <w:szCs w:val="27"/>
              </w:rPr>
              <w:t xml:space="preserve">Комітет Верховної Ради України з питань інтеграції України до Європейського Союзу </w:t>
            </w:r>
          </w:p>
          <w:p>
            <w:pPr>
              <w:ind w:firstLine="0"/>
              <w:jc w:val="left"/>
              <w:rPr>
                <w:b w:val="1"/>
                <w:bCs w:val="1"/>
                <w:sz w:val="27"/>
                <w:szCs w:val="27"/>
              </w:rPr>
            </w:pPr>
          </w:p>
        </w:tc>
      </w:tr>
      <w:tr>
        <w:tc>
          <w:tcPr>
            <w:tcW w:w="3974" w:type="dxa"/>
          </w:tcPr>
          <w:p>
            <w:pPr>
              <w:ind w:firstLine="0"/>
              <w:jc w:val="right"/>
              <w:rPr>
                <w:b w:val="1"/>
                <w:bCs w:val="1"/>
                <w:sz w:val="27"/>
                <w:szCs w:val="27"/>
              </w:rPr>
            </w:pPr>
          </w:p>
        </w:tc>
        <w:tc>
          <w:tcPr>
            <w:tcW w:w="4536" w:type="dxa"/>
          </w:tcPr>
          <w:p>
            <w:pPr>
              <w:ind w:firstLine="0"/>
              <w:jc w:val="left"/>
              <w:rPr>
                <w:b w:val="1"/>
                <w:bCs w:val="1"/>
                <w:sz w:val="27"/>
                <w:szCs w:val="27"/>
              </w:rPr>
            </w:pPr>
          </w:p>
        </w:tc>
      </w:tr>
    </w:tbl>
    <w:p>
      <w:pPr>
        <w:spacing w:after="160" w:beforeAutospacing="0" w:afterAutospacing="0"/>
        <w:ind w:firstLine="0" w:right="140"/>
        <w:jc w:val="center"/>
        <w:rPr>
          <w:b w:val="1"/>
          <w:bCs w:val="1"/>
          <w:sz w:val="27"/>
          <w:szCs w:val="27"/>
        </w:rPr>
      </w:pPr>
      <w:r>
        <w:rPr>
          <w:b w:val="1"/>
          <w:bCs w:val="1"/>
          <w:sz w:val="27"/>
          <w:szCs w:val="27"/>
        </w:rPr>
        <w:t>Шановний Сергію Костянтиновичу!</w:t>
      </w:r>
    </w:p>
    <w:p>
      <w:pPr>
        <w:ind w:firstLine="567" w:right="140"/>
        <w:rPr>
          <w:sz w:val="27"/>
          <w:szCs w:val="27"/>
        </w:rPr>
      </w:pPr>
      <w:r>
        <w:rPr>
          <w:sz w:val="27"/>
          <w:szCs w:val="27"/>
        </w:rPr>
        <w:t>На Ваше звернення від 29 квітня 2026 року № 04-27/3-2026/96550 надаю довідку щодо відповідності зобов’язанням України у сфері європейської інтеграції, у тому числі міжнародно-правовим та праву Європейського Союзу (acquis ЄС) проекту Закону України «Про внесення змін до статті 161 Кримінального кодексу України щодо встановлення відповідальності за українофобію» (реєстр. № 15186 від 22 квітня 2026 року).</w:t>
      </w:r>
    </w:p>
    <w:p>
      <w:pPr>
        <w:ind w:firstLine="567" w:right="140"/>
        <w:rPr>
          <w:sz w:val="27"/>
          <w:szCs w:val="27"/>
        </w:rPr>
      </w:pPr>
      <w:r>
        <w:rPr>
          <w:sz w:val="27"/>
          <w:szCs w:val="27"/>
        </w:rPr>
        <w:t xml:space="preserve">Принагідно зазначаю, що проект Закону </w:t>
      </w:r>
      <w:r>
        <w:rPr>
          <w:smallCaps w:val="0"/>
          <w:sz w:val="27"/>
          <w:szCs w:val="22"/>
          <w:cs w:val="0"/>
          <w:spacing w:val="0"/>
          <w:w w:val="100"/>
          <w:position w:val="0"/>
          <w:snapToGrid w:val="1"/>
        </w:rPr>
        <w:t xml:space="preserve">у цілому </w:t>
      </w:r>
      <w:r>
        <w:rPr>
          <w:sz w:val="27"/>
          <w:szCs w:val="27"/>
        </w:rPr>
        <w:t xml:space="preserve">не суперечить цілям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сторони, а також праву Європейського Союзу та міжнародно-правовим зобов’язанням України у сфері європейської інтеграції. </w:t>
      </w:r>
    </w:p>
    <w:p>
      <w:pPr>
        <w:ind w:firstLine="567" w:right="140"/>
        <w:rPr>
          <w:sz w:val="27"/>
          <w:szCs w:val="27"/>
        </w:rPr>
      </w:pPr>
      <w:r>
        <w:rPr>
          <w:sz w:val="27"/>
          <w:szCs w:val="27"/>
        </w:rPr>
        <w:t>Враховуючи, що проект Закону не передбачає імплементацію актів ЄС, він не потребує проведення порівняльно-правового аналізу на відповідність праву ЄС та підготовки таблиці відповідності праву ЄС (acquis ЄС).</w:t>
      </w:r>
    </w:p>
    <w:p>
      <w:pPr>
        <w:ind w:firstLine="567" w:right="140"/>
        <w:rPr>
          <w:sz w:val="27"/>
          <w:szCs w:val="27"/>
        </w:rPr>
      </w:pPr>
    </w:p>
    <w:p>
      <w:pPr>
        <w:ind w:firstLine="567" w:right="140"/>
        <w:rPr>
          <w:sz w:val="27"/>
          <w:szCs w:val="27"/>
        </w:rPr>
      </w:pPr>
    </w:p>
    <w:p>
      <w:pPr>
        <w:ind w:firstLine="0" w:right="140"/>
        <w:rPr>
          <w:sz w:val="27"/>
          <w:szCs w:val="27"/>
        </w:rPr>
      </w:pPr>
      <w:r>
        <w:rPr>
          <w:sz w:val="27"/>
          <w:szCs w:val="27"/>
        </w:rPr>
        <w:t xml:space="preserve">Додаток: згадане, на 3 арк. </w:t>
      </w:r>
    </w:p>
    <w:p>
      <w:pPr>
        <w:ind w:firstLine="567" w:right="140"/>
        <w:rPr>
          <w:sz w:val="27"/>
          <w:szCs w:val="27"/>
        </w:rPr>
      </w:pPr>
      <w:bookmarkStart w:id="0" w:name="_GoBack"/>
      <w:bookmarkEnd w:id="0"/>
    </w:p>
    <w:p>
      <w:pPr>
        <w:ind w:firstLine="567" w:right="140"/>
        <w:rPr>
          <w:sz w:val="27"/>
          <w:szCs w:val="27"/>
        </w:rPr>
      </w:pPr>
    </w:p>
    <w:p>
      <w:pPr>
        <w:ind w:firstLine="567" w:right="140"/>
        <w:rPr>
          <w:b w:val="1"/>
          <w:sz w:val="27"/>
          <w:szCs w:val="27"/>
        </w:rPr>
      </w:pPr>
      <w:r>
        <w:rPr>
          <w:b w:val="1"/>
          <w:sz w:val="27"/>
          <w:szCs w:val="27"/>
        </w:rPr>
        <w:t xml:space="preserve">З повагою </w:t>
      </w:r>
    </w:p>
    <w:p>
      <w:pPr>
        <w:ind w:firstLine="567" w:right="140"/>
        <w:rPr>
          <w:b w:val="1"/>
          <w:sz w:val="27"/>
          <w:szCs w:val="27"/>
        </w:rPr>
      </w:pPr>
      <w:r>
        <w:rPr>
          <w:b w:val="1"/>
          <w:sz w:val="27"/>
          <w:szCs w:val="27"/>
        </w:rPr>
        <w:t xml:space="preserve"> </w:t>
      </w:r>
    </w:p>
    <w:p>
      <w:pPr>
        <w:ind w:firstLine="0" w:right="140"/>
        <w:rPr>
          <w:b w:val="1"/>
          <w:sz w:val="27"/>
          <w:szCs w:val="27"/>
        </w:rPr>
      </w:pPr>
      <w:r>
        <w:rPr>
          <w:b w:val="1"/>
          <w:sz w:val="27"/>
          <w:szCs w:val="27"/>
        </w:rPr>
        <w:t xml:space="preserve">Віце-прем'єр-міністр з питань європейської </w:t>
      </w:r>
    </w:p>
    <w:p>
      <w:pPr>
        <w:ind w:firstLine="0" w:right="140"/>
        <w:rPr>
          <w:sz w:val="27"/>
          <w:szCs w:val="27"/>
        </w:rPr>
      </w:pPr>
      <w:r>
        <w:rPr>
          <w:b w:val="1"/>
          <w:sz w:val="27"/>
          <w:szCs w:val="27"/>
        </w:rPr>
        <w:t xml:space="preserve">та євроатлантичної інтеграції України                                              Тарас КАЧКА</w:t>
      </w:r>
    </w:p>
    <w:sectPr>
      <w:headerReference w:type="default" r:id="RelHdr1"/>
      <w:footnotePr/>
      <w:endnotePr/>
      <w:type w:val="nextPage"/>
      <w:pgSz w:w="11907" w:h="16839" w:code="9"/>
      <w:pgMar w:left="1418" w:right="851" w:top="567" w:bottom="709" w:header="1134" w:footer="1134" w:gutter="0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tabs>
        <w:tab w:val="center" w:pos="4536" w:leader="none"/>
        <w:tab w:val="clear" w:pos="9355" w:leader="none"/>
      </w:tabs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 w:val="1"/>
        <w:sz w:val="28"/>
      </w:rPr>
      <w:t>#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  <w:ind w:firstLine="709"/>
      <w:jc w:val="both"/>
    </w:pPr>
    <w:rPr>
      <w:rFonts w:ascii="Times New Roman" w:hAnsi="Times New Roman"/>
      <w:sz w:val="28"/>
    </w:rPr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  <w:spacing w:lineRule="auto" w:line="276" w:after="200" w:beforeAutospacing="0" w:afterAutospacing="0"/>
      <w:ind w:firstLine="0"/>
      <w:jc w:val="left"/>
    </w:pPr>
    <w:rPr>
      <w:rFonts w:ascii="Calibri" w:hAnsi="Calibri"/>
      <w:sz w:val="22"/>
      <w:lang w:val="ru-RU"/>
    </w:rPr>
  </w:style>
  <w:style w:type="paragraph" w:styleId="P2">
    <w:name w:val="Footnote Text"/>
    <w:link w:val="C5"/>
    <w:semiHidden/>
    <w:pPr>
      <w:spacing w:lineRule="auto" w:line="240" w:after="0"/>
    </w:pPr>
    <w:rPr>
      <w:sz w:val="20"/>
      <w:szCs w:val="20"/>
    </w:rPr>
  </w:style>
  <w:style w:type="paragraph" w:styleId="P3">
    <w:name w:val="Endnote Text"/>
    <w:link w:val="C7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1"/>
    <w:rPr>
      <w:rFonts w:ascii="Calibri" w:hAnsi="Calibri"/>
      <w:lang w:val="ru-RU"/>
    </w:rPr>
  </w:style>
  <w:style w:type="character" w:styleId="C4">
    <w:name w:val="Footnote Reference"/>
    <w:semiHidden/>
    <w:rPr>
      <w:vertAlign w:val="superscript"/>
    </w:rPr>
  </w:style>
  <w:style w:type="character" w:styleId="C5">
    <w:name w:val="Footnote Text Char"/>
    <w:link w:val="P2"/>
    <w:semiHidden/>
    <w:rPr>
      <w:sz w:val="20"/>
      <w:szCs w:val="20"/>
    </w:rPr>
  </w:style>
  <w:style w:type="character" w:styleId="C6">
    <w:name w:val="Endnote Reference"/>
    <w:semiHidden/>
    <w:rPr>
      <w:vertAlign w:val="superscript"/>
    </w:rPr>
  </w:style>
  <w:style w:type="character" w:styleId="C7">
    <w:name w:val="Endnote Text Char"/>
    <w:link w:val="P3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2026-05-05T13:55:00Z</dcterms:created>
  <dcterms:modified xsi:type="dcterms:W3CDTF">2026-05-13T06:08:58Z</dcterms:modified>
  <cp:revision>4</cp:revision>
</cp:coreProperties>
</file>