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B8DA3" w14:textId="77777777" w:rsidR="00872E7F" w:rsidRPr="00091738" w:rsidRDefault="00872E7F" w:rsidP="00872E7F">
      <w:pPr>
        <w:jc w:val="center"/>
        <w:rPr>
          <w:b/>
          <w:sz w:val="28"/>
          <w:szCs w:val="28"/>
        </w:rPr>
      </w:pPr>
      <w:bookmarkStart w:id="0" w:name="_Hlk30592877"/>
      <w:r w:rsidRPr="00091738">
        <w:rPr>
          <w:b/>
          <w:sz w:val="28"/>
          <w:szCs w:val="28"/>
        </w:rPr>
        <w:t>ПОРІВНЯЛЬНА ТАБЛИЦЯ</w:t>
      </w:r>
    </w:p>
    <w:p w14:paraId="18D5DBB4" w14:textId="13C47526" w:rsidR="009C08C9" w:rsidRPr="0072293D" w:rsidRDefault="00872E7F" w:rsidP="000D1A7A">
      <w:pPr>
        <w:tabs>
          <w:tab w:val="center" w:pos="7426"/>
          <w:tab w:val="left" w:pos="13332"/>
        </w:tabs>
        <w:jc w:val="center"/>
        <w:rPr>
          <w:b/>
        </w:rPr>
      </w:pPr>
      <w:r w:rsidRPr="002A3210">
        <w:rPr>
          <w:b/>
          <w:sz w:val="28"/>
          <w:szCs w:val="28"/>
        </w:rPr>
        <w:t xml:space="preserve">до проекту Закону України </w:t>
      </w:r>
      <w:bookmarkStart w:id="1" w:name="_Hlk208395256"/>
      <w:r w:rsidR="000D1A7A">
        <w:rPr>
          <w:b/>
          <w:sz w:val="28"/>
          <w:szCs w:val="28"/>
        </w:rPr>
        <w:t>«</w:t>
      </w:r>
      <w:r w:rsidR="00015606" w:rsidRPr="00015606">
        <w:rPr>
          <w:b/>
          <w:sz w:val="28"/>
          <w:szCs w:val="28"/>
        </w:rPr>
        <w:t>Про внесення змін до деяких законів України щодо гарантування щорічної індексації грошових виплат членам сімей загиблих (померлих) ветеранів війни, Захисників і Захисниць України</w:t>
      </w:r>
      <w:r w:rsidR="000D1A7A">
        <w:rPr>
          <w:b/>
          <w:sz w:val="28"/>
          <w:szCs w:val="28"/>
        </w:rPr>
        <w:t>»</w:t>
      </w:r>
      <w:bookmarkEnd w:id="1"/>
    </w:p>
    <w:tbl>
      <w:tblPr>
        <w:tblStyle w:val="a4"/>
        <w:tblW w:w="0" w:type="auto"/>
        <w:tblLook w:val="04A0" w:firstRow="1" w:lastRow="0" w:firstColumn="1" w:lastColumn="0" w:noHBand="0" w:noVBand="1"/>
      </w:tblPr>
      <w:tblGrid>
        <w:gridCol w:w="7280"/>
        <w:gridCol w:w="7280"/>
      </w:tblGrid>
      <w:tr w:rsidR="009C08C9" w:rsidRPr="009C08C9" w14:paraId="2D0946CA" w14:textId="77777777" w:rsidTr="0017286F">
        <w:tc>
          <w:tcPr>
            <w:tcW w:w="7280" w:type="dxa"/>
          </w:tcPr>
          <w:p w14:paraId="5F5A3E30" w14:textId="77777777" w:rsidR="009C08C9" w:rsidRPr="009C08C9" w:rsidRDefault="009C08C9" w:rsidP="009C08C9">
            <w:pPr>
              <w:jc w:val="center"/>
              <w:rPr>
                <w:b/>
                <w:caps/>
                <w:sz w:val="28"/>
                <w:szCs w:val="28"/>
              </w:rPr>
            </w:pPr>
            <w:r w:rsidRPr="009C08C9">
              <w:rPr>
                <w:b/>
                <w:caps/>
                <w:sz w:val="28"/>
                <w:szCs w:val="28"/>
              </w:rPr>
              <w:t xml:space="preserve">Чинна редакція законодавчого акту </w:t>
            </w:r>
          </w:p>
        </w:tc>
        <w:tc>
          <w:tcPr>
            <w:tcW w:w="7280" w:type="dxa"/>
          </w:tcPr>
          <w:p w14:paraId="2410A150" w14:textId="77777777" w:rsidR="009C08C9" w:rsidRPr="009C08C9" w:rsidRDefault="009C08C9" w:rsidP="009C08C9">
            <w:pPr>
              <w:jc w:val="center"/>
              <w:rPr>
                <w:b/>
                <w:caps/>
                <w:sz w:val="28"/>
                <w:szCs w:val="28"/>
              </w:rPr>
            </w:pPr>
            <w:r w:rsidRPr="009C08C9">
              <w:rPr>
                <w:b/>
                <w:caps/>
                <w:sz w:val="28"/>
                <w:szCs w:val="28"/>
              </w:rPr>
              <w:t>Редакція акту з урахуванням пропонованих змін</w:t>
            </w:r>
          </w:p>
        </w:tc>
      </w:tr>
      <w:tr w:rsidR="00445610" w:rsidRPr="009C08C9" w14:paraId="607C887D" w14:textId="77777777" w:rsidTr="00715605">
        <w:trPr>
          <w:trHeight w:val="85"/>
        </w:trPr>
        <w:tc>
          <w:tcPr>
            <w:tcW w:w="14560" w:type="dxa"/>
            <w:gridSpan w:val="2"/>
          </w:tcPr>
          <w:p w14:paraId="512DAE17" w14:textId="56A1CDB3" w:rsidR="00445610" w:rsidRPr="009C08C9" w:rsidRDefault="00335F54" w:rsidP="00445610">
            <w:pPr>
              <w:jc w:val="center"/>
              <w:rPr>
                <w:b/>
                <w:sz w:val="28"/>
                <w:szCs w:val="28"/>
              </w:rPr>
            </w:pPr>
            <w:bookmarkStart w:id="2" w:name="n3"/>
            <w:bookmarkEnd w:id="2"/>
            <w:r w:rsidRPr="00335F54">
              <w:rPr>
                <w:b/>
                <w:sz w:val="28"/>
                <w:szCs w:val="28"/>
              </w:rPr>
              <w:t>Закону України "Про індексацію грошових доходів населення"</w:t>
            </w:r>
          </w:p>
        </w:tc>
      </w:tr>
      <w:tr w:rsidR="00445610" w:rsidRPr="009C08C9" w14:paraId="00D4F7D1" w14:textId="77777777" w:rsidTr="0017286F">
        <w:tc>
          <w:tcPr>
            <w:tcW w:w="7280" w:type="dxa"/>
          </w:tcPr>
          <w:p w14:paraId="2657FED9" w14:textId="0490A8AF" w:rsidR="00715605" w:rsidRPr="000D1A7A" w:rsidRDefault="00715605" w:rsidP="00715605">
            <w:pPr>
              <w:ind w:firstLine="720"/>
              <w:jc w:val="center"/>
              <w:rPr>
                <w:sz w:val="28"/>
                <w:szCs w:val="28"/>
              </w:rPr>
            </w:pPr>
            <w:r>
              <w:rPr>
                <w:sz w:val="28"/>
                <w:szCs w:val="28"/>
              </w:rPr>
              <w:t>Чинна редакція</w:t>
            </w:r>
          </w:p>
        </w:tc>
        <w:tc>
          <w:tcPr>
            <w:tcW w:w="7280" w:type="dxa"/>
          </w:tcPr>
          <w:p w14:paraId="7844C20A" w14:textId="1DF57AC1" w:rsidR="00445610" w:rsidRPr="009C08C9" w:rsidRDefault="00715605" w:rsidP="00715605">
            <w:pPr>
              <w:ind w:firstLine="720"/>
              <w:jc w:val="center"/>
              <w:rPr>
                <w:sz w:val="28"/>
                <w:szCs w:val="28"/>
              </w:rPr>
            </w:pPr>
            <w:r>
              <w:rPr>
                <w:sz w:val="28"/>
                <w:szCs w:val="28"/>
              </w:rPr>
              <w:t>Редакція, що пропонується</w:t>
            </w:r>
          </w:p>
        </w:tc>
      </w:tr>
      <w:tr w:rsidR="00590C9F" w:rsidRPr="009C08C9" w14:paraId="7E9C304E" w14:textId="77777777" w:rsidTr="0017286F">
        <w:tc>
          <w:tcPr>
            <w:tcW w:w="7280" w:type="dxa"/>
          </w:tcPr>
          <w:p w14:paraId="7964B9FF" w14:textId="77777777" w:rsidR="00335F54" w:rsidRPr="00335F54" w:rsidRDefault="00335F54" w:rsidP="00335F54">
            <w:pPr>
              <w:ind w:firstLine="720"/>
              <w:jc w:val="both"/>
              <w:rPr>
                <w:sz w:val="28"/>
                <w:szCs w:val="28"/>
              </w:rPr>
            </w:pPr>
            <w:r w:rsidRPr="00335F54">
              <w:rPr>
                <w:b/>
                <w:sz w:val="28"/>
                <w:szCs w:val="28"/>
              </w:rPr>
              <w:t>Стаття 2.</w:t>
            </w:r>
            <w:r w:rsidRPr="00335F54">
              <w:rPr>
                <w:sz w:val="28"/>
                <w:szCs w:val="28"/>
              </w:rPr>
              <w:t xml:space="preserve"> Об'єкти індексації грошових доходів населення</w:t>
            </w:r>
          </w:p>
          <w:p w14:paraId="28405DFB" w14:textId="77777777" w:rsidR="00335F54" w:rsidRPr="00335F54" w:rsidRDefault="00335F54" w:rsidP="00335F54">
            <w:pPr>
              <w:ind w:firstLine="720"/>
              <w:jc w:val="both"/>
              <w:rPr>
                <w:sz w:val="28"/>
                <w:szCs w:val="28"/>
              </w:rPr>
            </w:pPr>
          </w:p>
          <w:p w14:paraId="486220DA" w14:textId="77777777" w:rsidR="00335F54" w:rsidRPr="00335F54" w:rsidRDefault="00335F54" w:rsidP="00335F54">
            <w:pPr>
              <w:ind w:firstLine="720"/>
              <w:jc w:val="both"/>
              <w:rPr>
                <w:sz w:val="28"/>
                <w:szCs w:val="28"/>
              </w:rPr>
            </w:pPr>
            <w:r w:rsidRPr="00335F54">
              <w:rPr>
                <w:sz w:val="28"/>
                <w:szCs w:val="28"/>
              </w:rPr>
              <w:t>Індексації підлягають грошові доходи громадян, одержані ними в гривнях на території України і які не мають разового характеру:</w:t>
            </w:r>
          </w:p>
          <w:p w14:paraId="644B2D11" w14:textId="77777777" w:rsidR="00335F54" w:rsidRPr="00335F54" w:rsidRDefault="00335F54" w:rsidP="00335F54">
            <w:pPr>
              <w:ind w:firstLine="720"/>
              <w:jc w:val="both"/>
              <w:rPr>
                <w:sz w:val="28"/>
                <w:szCs w:val="28"/>
              </w:rPr>
            </w:pPr>
            <w:r w:rsidRPr="00335F54">
              <w:rPr>
                <w:sz w:val="28"/>
                <w:szCs w:val="28"/>
              </w:rPr>
              <w:t>пенсії;</w:t>
            </w:r>
          </w:p>
          <w:p w14:paraId="0EB1E3F8" w14:textId="77777777" w:rsidR="00335F54" w:rsidRPr="00335F54" w:rsidRDefault="00335F54" w:rsidP="00335F54">
            <w:pPr>
              <w:ind w:firstLine="720"/>
              <w:jc w:val="both"/>
              <w:rPr>
                <w:sz w:val="28"/>
                <w:szCs w:val="28"/>
              </w:rPr>
            </w:pPr>
            <w:r w:rsidRPr="00335F54">
              <w:rPr>
                <w:sz w:val="28"/>
                <w:szCs w:val="28"/>
              </w:rPr>
              <w:t>стипендії;</w:t>
            </w:r>
          </w:p>
          <w:p w14:paraId="1E2238C8" w14:textId="77777777" w:rsidR="00335F54" w:rsidRPr="00335F54" w:rsidRDefault="00335F54" w:rsidP="00335F54">
            <w:pPr>
              <w:ind w:firstLine="720"/>
              <w:jc w:val="both"/>
              <w:rPr>
                <w:sz w:val="28"/>
                <w:szCs w:val="28"/>
              </w:rPr>
            </w:pPr>
            <w:r w:rsidRPr="00335F54">
              <w:rPr>
                <w:sz w:val="28"/>
                <w:szCs w:val="28"/>
              </w:rPr>
              <w:t>оплата праці (грошове забезпечення);</w:t>
            </w:r>
          </w:p>
          <w:p w14:paraId="0760EF36" w14:textId="77777777" w:rsidR="00335F54" w:rsidRPr="00335F54" w:rsidRDefault="00335F54" w:rsidP="00335F54">
            <w:pPr>
              <w:ind w:firstLine="720"/>
              <w:jc w:val="both"/>
              <w:rPr>
                <w:sz w:val="28"/>
                <w:szCs w:val="28"/>
              </w:rPr>
            </w:pPr>
            <w:r w:rsidRPr="00335F54">
              <w:rPr>
                <w:sz w:val="28"/>
                <w:szCs w:val="28"/>
              </w:rPr>
              <w:t>суми виплат, що здійснюються відповідно до законодавства про загальнообов’язкове державне соціальне страхування, крім щомісячних страхових виплат потерпілим на виробництві (з урахуванням виплат на необхідний догляд за потерпілим) та членам їхніх сімей і пенсій, які індексуються відповідно до закону за цими видами страхування;</w:t>
            </w:r>
          </w:p>
          <w:p w14:paraId="2CC5A1FE" w14:textId="77777777" w:rsidR="00335F54" w:rsidRPr="00335F54" w:rsidRDefault="00335F54" w:rsidP="00335F54">
            <w:pPr>
              <w:ind w:firstLine="720"/>
              <w:jc w:val="both"/>
              <w:rPr>
                <w:sz w:val="28"/>
                <w:szCs w:val="28"/>
              </w:rPr>
            </w:pPr>
          </w:p>
          <w:p w14:paraId="34E449AB" w14:textId="77777777" w:rsidR="00335F54" w:rsidRPr="00335F54" w:rsidRDefault="00335F54" w:rsidP="00335F54">
            <w:pPr>
              <w:ind w:firstLine="720"/>
              <w:jc w:val="both"/>
              <w:rPr>
                <w:sz w:val="28"/>
                <w:szCs w:val="28"/>
              </w:rPr>
            </w:pPr>
            <w:r w:rsidRPr="00335F54">
              <w:rPr>
                <w:sz w:val="28"/>
                <w:szCs w:val="28"/>
              </w:rPr>
              <w:t xml:space="preserve">суми відшкодування шкоди, заподіяної фізичній особі каліцтвом або іншим ушкодженням здоров’я, а також суми, що виплачуються особам, які мають право на відшкодування шкоди у разі втрати годувальника, крім суми виплат, що здійснюються відповідно до </w:t>
            </w:r>
            <w:r w:rsidRPr="00335F54">
              <w:rPr>
                <w:sz w:val="28"/>
                <w:szCs w:val="28"/>
              </w:rPr>
              <w:lastRenderedPageBreak/>
              <w:t>законодавства про загальнообов’язкове державне соціальне страхування;</w:t>
            </w:r>
          </w:p>
          <w:p w14:paraId="34EAE808" w14:textId="77777777" w:rsidR="00335F54" w:rsidRPr="00335F54" w:rsidRDefault="00335F54" w:rsidP="00335F54">
            <w:pPr>
              <w:ind w:firstLine="720"/>
              <w:jc w:val="both"/>
              <w:rPr>
                <w:sz w:val="28"/>
                <w:szCs w:val="28"/>
              </w:rPr>
            </w:pPr>
          </w:p>
          <w:p w14:paraId="32D45C9D" w14:textId="469B0102" w:rsidR="00335F54" w:rsidRDefault="00335F54" w:rsidP="00335F54">
            <w:pPr>
              <w:ind w:firstLine="720"/>
              <w:jc w:val="both"/>
              <w:rPr>
                <w:sz w:val="28"/>
                <w:szCs w:val="28"/>
              </w:rPr>
            </w:pPr>
            <w:r w:rsidRPr="00335F54">
              <w:rPr>
                <w:sz w:val="28"/>
                <w:szCs w:val="28"/>
              </w:rPr>
              <w:t>розмір аліментів, визначений судом у твердій грошовій сумі.</w:t>
            </w:r>
          </w:p>
          <w:p w14:paraId="4382818B" w14:textId="00B086D8" w:rsidR="00335F54" w:rsidRDefault="00335F54" w:rsidP="00335F54">
            <w:pPr>
              <w:ind w:firstLine="720"/>
              <w:jc w:val="both"/>
              <w:rPr>
                <w:sz w:val="28"/>
                <w:szCs w:val="28"/>
              </w:rPr>
            </w:pPr>
          </w:p>
          <w:p w14:paraId="0F31BBAD" w14:textId="168AE9AE" w:rsidR="00335F54" w:rsidRDefault="00335F54" w:rsidP="00335F54">
            <w:pPr>
              <w:ind w:firstLine="720"/>
              <w:jc w:val="both"/>
              <w:rPr>
                <w:sz w:val="28"/>
                <w:szCs w:val="28"/>
              </w:rPr>
            </w:pPr>
          </w:p>
          <w:p w14:paraId="6A336C22" w14:textId="51C84FD5" w:rsidR="00335F54" w:rsidRDefault="00335F54" w:rsidP="00335F54">
            <w:pPr>
              <w:ind w:firstLine="720"/>
              <w:jc w:val="both"/>
              <w:rPr>
                <w:sz w:val="28"/>
                <w:szCs w:val="28"/>
              </w:rPr>
            </w:pPr>
          </w:p>
          <w:p w14:paraId="0CAB8569" w14:textId="77777777" w:rsidR="00335F54" w:rsidRDefault="00335F54" w:rsidP="00335F54">
            <w:pPr>
              <w:ind w:firstLine="720"/>
              <w:jc w:val="both"/>
              <w:rPr>
                <w:sz w:val="28"/>
                <w:szCs w:val="28"/>
              </w:rPr>
            </w:pPr>
          </w:p>
          <w:p w14:paraId="607A639D" w14:textId="77777777" w:rsidR="00335F54" w:rsidRPr="00335F54" w:rsidRDefault="00335F54" w:rsidP="00335F54">
            <w:pPr>
              <w:ind w:firstLine="720"/>
              <w:jc w:val="both"/>
              <w:rPr>
                <w:sz w:val="28"/>
                <w:szCs w:val="28"/>
              </w:rPr>
            </w:pPr>
          </w:p>
          <w:p w14:paraId="17F1C77B" w14:textId="77777777" w:rsidR="00335F54" w:rsidRPr="00335F54" w:rsidRDefault="00335F54" w:rsidP="00335F54">
            <w:pPr>
              <w:ind w:firstLine="720"/>
              <w:jc w:val="both"/>
              <w:rPr>
                <w:sz w:val="28"/>
                <w:szCs w:val="28"/>
              </w:rPr>
            </w:pPr>
          </w:p>
          <w:p w14:paraId="317E885C" w14:textId="77777777" w:rsidR="00335F54" w:rsidRPr="00335F54" w:rsidRDefault="00335F54" w:rsidP="00335F54">
            <w:pPr>
              <w:ind w:firstLine="720"/>
              <w:jc w:val="both"/>
              <w:rPr>
                <w:sz w:val="28"/>
                <w:szCs w:val="28"/>
              </w:rPr>
            </w:pPr>
            <w:r w:rsidRPr="00335F54">
              <w:rPr>
                <w:sz w:val="28"/>
                <w:szCs w:val="28"/>
              </w:rPr>
              <w:t>Кабінет Міністрів України може встановлювати інші об'єкти індексації, що не передбачені частиною першою цієї статті.</w:t>
            </w:r>
          </w:p>
          <w:p w14:paraId="251EAD61" w14:textId="524C6BEB" w:rsidR="00335F54" w:rsidRDefault="00335F54" w:rsidP="00335F54">
            <w:pPr>
              <w:ind w:firstLine="720"/>
              <w:jc w:val="both"/>
              <w:rPr>
                <w:sz w:val="28"/>
                <w:szCs w:val="28"/>
              </w:rPr>
            </w:pPr>
            <w:r w:rsidRPr="00335F54">
              <w:rPr>
                <w:sz w:val="28"/>
                <w:szCs w:val="28"/>
              </w:rPr>
              <w:t>Соціальні виплати, що мають цільовий і разовий характер (допомога при народженні дитини, допомога на поховання, матеріальна допомога, одноразова допомога при виході на пенсію тощо), а також допомога у зв'язку з вагітністю і пологами індексації не підлягають. Підтримка купівельної спроможності провадиться шляхом підвищення розміру зазначених виплат.</w:t>
            </w:r>
          </w:p>
          <w:p w14:paraId="58D5026B" w14:textId="7ECA99DC" w:rsidR="00335F54" w:rsidRDefault="00335F54" w:rsidP="00335F54">
            <w:pPr>
              <w:ind w:firstLine="720"/>
              <w:jc w:val="both"/>
              <w:rPr>
                <w:sz w:val="28"/>
                <w:szCs w:val="28"/>
              </w:rPr>
            </w:pPr>
          </w:p>
          <w:p w14:paraId="3D7D88B4" w14:textId="13F23DEE" w:rsidR="00335F54" w:rsidRDefault="00335F54" w:rsidP="00335F54">
            <w:pPr>
              <w:ind w:firstLine="720"/>
              <w:jc w:val="both"/>
              <w:rPr>
                <w:sz w:val="28"/>
                <w:szCs w:val="28"/>
              </w:rPr>
            </w:pPr>
          </w:p>
          <w:p w14:paraId="4F3E9373" w14:textId="2EAB8143" w:rsidR="00335F54" w:rsidRDefault="00335F54" w:rsidP="00335F54">
            <w:pPr>
              <w:ind w:firstLine="720"/>
              <w:jc w:val="both"/>
              <w:rPr>
                <w:sz w:val="28"/>
                <w:szCs w:val="28"/>
              </w:rPr>
            </w:pPr>
          </w:p>
          <w:p w14:paraId="048AC30E" w14:textId="5A69B026" w:rsidR="00335F54" w:rsidRDefault="00335F54" w:rsidP="00335F54">
            <w:pPr>
              <w:ind w:firstLine="720"/>
              <w:jc w:val="both"/>
              <w:rPr>
                <w:sz w:val="28"/>
                <w:szCs w:val="28"/>
              </w:rPr>
            </w:pPr>
          </w:p>
          <w:p w14:paraId="23978742" w14:textId="072CC692" w:rsidR="00335F54" w:rsidRDefault="00335F54" w:rsidP="00335F54">
            <w:pPr>
              <w:ind w:firstLine="720"/>
              <w:jc w:val="both"/>
              <w:rPr>
                <w:sz w:val="28"/>
                <w:szCs w:val="28"/>
              </w:rPr>
            </w:pPr>
          </w:p>
          <w:p w14:paraId="5BCA8F7A" w14:textId="04EF1D41" w:rsidR="00335F54" w:rsidRDefault="00335F54" w:rsidP="00335F54">
            <w:pPr>
              <w:ind w:firstLine="720"/>
              <w:jc w:val="both"/>
              <w:rPr>
                <w:sz w:val="28"/>
                <w:szCs w:val="28"/>
              </w:rPr>
            </w:pPr>
          </w:p>
          <w:p w14:paraId="64420999" w14:textId="38C16062" w:rsidR="00335F54" w:rsidRDefault="00335F54" w:rsidP="00335F54">
            <w:pPr>
              <w:ind w:firstLine="720"/>
              <w:jc w:val="both"/>
              <w:rPr>
                <w:sz w:val="28"/>
                <w:szCs w:val="28"/>
              </w:rPr>
            </w:pPr>
          </w:p>
          <w:p w14:paraId="6D9B60E5" w14:textId="7CE13476" w:rsidR="00335F54" w:rsidRDefault="00335F54" w:rsidP="00335F54">
            <w:pPr>
              <w:ind w:firstLine="720"/>
              <w:jc w:val="both"/>
              <w:rPr>
                <w:sz w:val="28"/>
                <w:szCs w:val="28"/>
              </w:rPr>
            </w:pPr>
          </w:p>
          <w:p w14:paraId="66A69C0F" w14:textId="77777777" w:rsidR="00335F54" w:rsidRPr="00335F54" w:rsidRDefault="00335F54" w:rsidP="00335F54">
            <w:pPr>
              <w:ind w:firstLine="720"/>
              <w:jc w:val="both"/>
              <w:rPr>
                <w:sz w:val="28"/>
                <w:szCs w:val="28"/>
              </w:rPr>
            </w:pPr>
          </w:p>
          <w:p w14:paraId="5E284F1D" w14:textId="77777777" w:rsidR="00335F54" w:rsidRPr="00335F54" w:rsidRDefault="00335F54" w:rsidP="00335F54">
            <w:pPr>
              <w:ind w:firstLine="720"/>
              <w:jc w:val="both"/>
              <w:rPr>
                <w:sz w:val="28"/>
                <w:szCs w:val="28"/>
              </w:rPr>
            </w:pPr>
            <w:r w:rsidRPr="00335F54">
              <w:rPr>
                <w:sz w:val="28"/>
                <w:szCs w:val="28"/>
              </w:rPr>
              <w:t>Підтримка купівельної спроможності соціальних виплат, які визначаються залежно від прожиткового мінімуму, здійснюється шляхом перегляду їх розміру у зв'язку із зростанням прожиткового мінімуму відповідно до законодавства.</w:t>
            </w:r>
          </w:p>
          <w:p w14:paraId="22967952" w14:textId="77777777" w:rsidR="00335F54" w:rsidRPr="00335F54" w:rsidRDefault="00335F54" w:rsidP="00335F54">
            <w:pPr>
              <w:ind w:firstLine="720"/>
              <w:jc w:val="both"/>
              <w:rPr>
                <w:sz w:val="28"/>
                <w:szCs w:val="28"/>
              </w:rPr>
            </w:pPr>
            <w:r w:rsidRPr="00335F54">
              <w:rPr>
                <w:sz w:val="28"/>
                <w:szCs w:val="28"/>
              </w:rPr>
              <w:t>Індексація пенсій проводиться у порядку, визначеному Кабінетом Міністрів України, із застосуванням коефіцієнта збільшення, що визначається відповідно до абзаців другого і третього частини другої статті 42 Закону України "Про загальнообов’язкове державне пенсійне страхування".</w:t>
            </w:r>
          </w:p>
          <w:p w14:paraId="30A2DBD3" w14:textId="77777777" w:rsidR="00335F54" w:rsidRPr="00335F54" w:rsidRDefault="00335F54" w:rsidP="00335F54">
            <w:pPr>
              <w:ind w:firstLine="720"/>
              <w:jc w:val="both"/>
              <w:rPr>
                <w:sz w:val="28"/>
                <w:szCs w:val="28"/>
              </w:rPr>
            </w:pPr>
            <w:r w:rsidRPr="00335F54">
              <w:rPr>
                <w:sz w:val="28"/>
                <w:szCs w:val="28"/>
              </w:rPr>
              <w:t>Індексації підлягають грошові доходи населення у межах прожиткового мінімуму, встановленого для відповідних соціальних і демографічних груп населення.</w:t>
            </w:r>
          </w:p>
          <w:p w14:paraId="604347E2" w14:textId="77777777" w:rsidR="00335F54" w:rsidRPr="00335F54" w:rsidRDefault="00335F54" w:rsidP="00335F54">
            <w:pPr>
              <w:ind w:firstLine="720"/>
              <w:jc w:val="both"/>
              <w:rPr>
                <w:sz w:val="28"/>
                <w:szCs w:val="28"/>
              </w:rPr>
            </w:pPr>
            <w:r w:rsidRPr="00335F54">
              <w:rPr>
                <w:sz w:val="28"/>
                <w:szCs w:val="28"/>
              </w:rPr>
              <w:t xml:space="preserve">Підтримка купівельної спроможності винагород, компенсаційних та інших виплат, що сплачуються резидентами Дія Сіті працівникам та </w:t>
            </w:r>
            <w:proofErr w:type="spellStart"/>
            <w:r w:rsidRPr="00335F54">
              <w:rPr>
                <w:sz w:val="28"/>
                <w:szCs w:val="28"/>
              </w:rPr>
              <w:t>гіг</w:t>
            </w:r>
            <w:proofErr w:type="spellEnd"/>
            <w:r w:rsidRPr="00335F54">
              <w:rPr>
                <w:sz w:val="28"/>
                <w:szCs w:val="28"/>
              </w:rPr>
              <w:t xml:space="preserve">-спеціалістам, забезпечується встановленою Законом України "Про стимулювання розвитку цифрової економіки в Україні" вимогою до резидентів Дія Сіті щодо забезпечення визначеного таким законом розміру середньої місячної винагороди працівників та </w:t>
            </w:r>
            <w:proofErr w:type="spellStart"/>
            <w:r w:rsidRPr="00335F54">
              <w:rPr>
                <w:sz w:val="28"/>
                <w:szCs w:val="28"/>
              </w:rPr>
              <w:t>гіг</w:t>
            </w:r>
            <w:proofErr w:type="spellEnd"/>
            <w:r w:rsidRPr="00335F54">
              <w:rPr>
                <w:sz w:val="28"/>
                <w:szCs w:val="28"/>
              </w:rPr>
              <w:t>-спеціалістів, а також періодичними переглядами розміру винагороди, що здійснюються резидентами Дія Сіті в межах їх компетенції.</w:t>
            </w:r>
          </w:p>
          <w:p w14:paraId="354BD3DB" w14:textId="71412014" w:rsidR="00590C9F" w:rsidRPr="007A0CBC" w:rsidRDefault="00590C9F" w:rsidP="00590C9F">
            <w:pPr>
              <w:ind w:firstLine="720"/>
              <w:jc w:val="both"/>
              <w:rPr>
                <w:i/>
                <w:sz w:val="28"/>
                <w:szCs w:val="28"/>
              </w:rPr>
            </w:pPr>
          </w:p>
        </w:tc>
        <w:tc>
          <w:tcPr>
            <w:tcW w:w="7280" w:type="dxa"/>
          </w:tcPr>
          <w:p w14:paraId="141F988D" w14:textId="5EFFEDA7" w:rsidR="00335F54" w:rsidRDefault="00335F54" w:rsidP="00335F54">
            <w:pPr>
              <w:ind w:firstLine="720"/>
              <w:jc w:val="both"/>
              <w:rPr>
                <w:sz w:val="28"/>
                <w:szCs w:val="28"/>
              </w:rPr>
            </w:pPr>
            <w:r w:rsidRPr="00335F54">
              <w:rPr>
                <w:b/>
                <w:sz w:val="28"/>
                <w:szCs w:val="28"/>
              </w:rPr>
              <w:lastRenderedPageBreak/>
              <w:t xml:space="preserve">Стаття 2. </w:t>
            </w:r>
            <w:r w:rsidRPr="00335F54">
              <w:rPr>
                <w:sz w:val="28"/>
                <w:szCs w:val="28"/>
              </w:rPr>
              <w:t>Об'єкти індексації грошових доходів населення</w:t>
            </w:r>
          </w:p>
          <w:p w14:paraId="1B4CFC48" w14:textId="77777777" w:rsidR="00335F54" w:rsidRPr="00335F54" w:rsidRDefault="00335F54" w:rsidP="00335F54">
            <w:pPr>
              <w:ind w:firstLine="720"/>
              <w:jc w:val="both"/>
              <w:rPr>
                <w:sz w:val="28"/>
                <w:szCs w:val="28"/>
              </w:rPr>
            </w:pPr>
          </w:p>
          <w:p w14:paraId="1B2C2488" w14:textId="5D1A923F" w:rsidR="00335F54" w:rsidRDefault="00335F54" w:rsidP="00335F54">
            <w:pPr>
              <w:ind w:firstLine="720"/>
              <w:jc w:val="both"/>
              <w:rPr>
                <w:sz w:val="28"/>
                <w:szCs w:val="28"/>
              </w:rPr>
            </w:pPr>
            <w:r w:rsidRPr="00335F54">
              <w:rPr>
                <w:sz w:val="28"/>
                <w:szCs w:val="28"/>
              </w:rPr>
              <w:t>Індексації підлягають грошові доходи громадян, одержані ними в гривнях на території України і які не мають разового характеру:</w:t>
            </w:r>
          </w:p>
          <w:p w14:paraId="07822314" w14:textId="6BACBE26" w:rsidR="00335F54" w:rsidRDefault="00335F54" w:rsidP="00335F54">
            <w:pPr>
              <w:ind w:firstLine="720"/>
              <w:jc w:val="both"/>
              <w:rPr>
                <w:sz w:val="28"/>
                <w:szCs w:val="28"/>
              </w:rPr>
            </w:pPr>
            <w:r w:rsidRPr="00335F54">
              <w:rPr>
                <w:sz w:val="28"/>
                <w:szCs w:val="28"/>
              </w:rPr>
              <w:t>пенсії;</w:t>
            </w:r>
          </w:p>
          <w:p w14:paraId="268871CC" w14:textId="07B8A9B1" w:rsidR="00335F54" w:rsidRDefault="00335F54" w:rsidP="00335F54">
            <w:pPr>
              <w:ind w:firstLine="720"/>
              <w:jc w:val="both"/>
              <w:rPr>
                <w:sz w:val="28"/>
                <w:szCs w:val="28"/>
              </w:rPr>
            </w:pPr>
            <w:r w:rsidRPr="00335F54">
              <w:rPr>
                <w:sz w:val="28"/>
                <w:szCs w:val="28"/>
              </w:rPr>
              <w:t>стипендії;</w:t>
            </w:r>
          </w:p>
          <w:p w14:paraId="5B8271CB" w14:textId="44F5BD3C" w:rsidR="00335F54" w:rsidRDefault="00335F54" w:rsidP="00335F54">
            <w:pPr>
              <w:ind w:firstLine="720"/>
              <w:jc w:val="both"/>
              <w:rPr>
                <w:sz w:val="28"/>
                <w:szCs w:val="28"/>
              </w:rPr>
            </w:pPr>
            <w:r w:rsidRPr="00335F54">
              <w:rPr>
                <w:sz w:val="28"/>
                <w:szCs w:val="28"/>
              </w:rPr>
              <w:t>оплата праці (грошове забезпечення);</w:t>
            </w:r>
          </w:p>
          <w:p w14:paraId="3654504D" w14:textId="77777777" w:rsidR="00335F54" w:rsidRPr="00335F54" w:rsidRDefault="00335F54" w:rsidP="00335F54">
            <w:pPr>
              <w:ind w:firstLine="720"/>
              <w:jc w:val="both"/>
              <w:rPr>
                <w:sz w:val="28"/>
                <w:szCs w:val="28"/>
              </w:rPr>
            </w:pPr>
            <w:r w:rsidRPr="00335F54">
              <w:rPr>
                <w:sz w:val="28"/>
                <w:szCs w:val="28"/>
              </w:rPr>
              <w:t>суми виплат, що здійснюються відповідно до законодавства про загальнообов’язкове державне соціальне страхування, крім щомісячних страхових виплат потерпілим на виробництві (з урахуванням виплат на необхідний догляд за потерпілим) та членам їхніх сімей і пенсій, які індексуються відповідно до закону за цими видами страхування;</w:t>
            </w:r>
          </w:p>
          <w:p w14:paraId="453562AA" w14:textId="77777777" w:rsidR="00335F54" w:rsidRDefault="00335F54" w:rsidP="00335F54">
            <w:pPr>
              <w:ind w:firstLine="720"/>
              <w:jc w:val="both"/>
              <w:rPr>
                <w:sz w:val="28"/>
                <w:szCs w:val="28"/>
              </w:rPr>
            </w:pPr>
          </w:p>
          <w:p w14:paraId="5B996A25" w14:textId="2C16F730" w:rsidR="00335F54" w:rsidRDefault="00335F54" w:rsidP="00335F54">
            <w:pPr>
              <w:ind w:firstLine="720"/>
              <w:jc w:val="both"/>
              <w:rPr>
                <w:sz w:val="28"/>
                <w:szCs w:val="28"/>
              </w:rPr>
            </w:pPr>
            <w:r w:rsidRPr="00335F54">
              <w:rPr>
                <w:sz w:val="28"/>
                <w:szCs w:val="28"/>
              </w:rPr>
              <w:t xml:space="preserve">суми відшкодування шкоди, заподіяної фізичній особі каліцтвом або іншим ушкодженням здоров’я, а також суми, що виплачуються особам, які мають право на відшкодування шкоди у разі втрати годувальника, крім суми виплат, що здійснюються відповідно до </w:t>
            </w:r>
            <w:r w:rsidRPr="00335F54">
              <w:rPr>
                <w:sz w:val="28"/>
                <w:szCs w:val="28"/>
              </w:rPr>
              <w:lastRenderedPageBreak/>
              <w:t>законодавства про загальнообов’язкове державне соціальне страхування;</w:t>
            </w:r>
          </w:p>
          <w:p w14:paraId="0815C7B4" w14:textId="77777777" w:rsidR="00335F54" w:rsidRPr="00335F54" w:rsidRDefault="00335F54" w:rsidP="00335F54">
            <w:pPr>
              <w:ind w:firstLine="720"/>
              <w:jc w:val="both"/>
              <w:rPr>
                <w:sz w:val="28"/>
                <w:szCs w:val="28"/>
              </w:rPr>
            </w:pPr>
          </w:p>
          <w:p w14:paraId="2789F4EB" w14:textId="73771D1C" w:rsidR="00335F54" w:rsidRDefault="00335F54" w:rsidP="00335F54">
            <w:pPr>
              <w:ind w:firstLine="720"/>
              <w:jc w:val="both"/>
              <w:rPr>
                <w:sz w:val="28"/>
                <w:szCs w:val="28"/>
              </w:rPr>
            </w:pPr>
            <w:r w:rsidRPr="00335F54">
              <w:rPr>
                <w:sz w:val="28"/>
                <w:szCs w:val="28"/>
              </w:rPr>
              <w:t>розмір аліментів, визначений судом у твердій грошовій сумі;</w:t>
            </w:r>
          </w:p>
          <w:p w14:paraId="3BA4BBE6" w14:textId="77777777" w:rsidR="00335F54" w:rsidRPr="00335F54" w:rsidRDefault="00335F54" w:rsidP="00335F54">
            <w:pPr>
              <w:ind w:firstLine="720"/>
              <w:jc w:val="both"/>
              <w:rPr>
                <w:sz w:val="28"/>
                <w:szCs w:val="28"/>
              </w:rPr>
            </w:pPr>
          </w:p>
          <w:p w14:paraId="7285AF4A" w14:textId="39C942CB" w:rsidR="00335F54" w:rsidRDefault="00335F54" w:rsidP="00335F54">
            <w:pPr>
              <w:ind w:firstLine="720"/>
              <w:jc w:val="both"/>
              <w:rPr>
                <w:b/>
                <w:sz w:val="28"/>
                <w:szCs w:val="28"/>
              </w:rPr>
            </w:pPr>
            <w:r w:rsidRPr="00335F54">
              <w:rPr>
                <w:b/>
                <w:sz w:val="28"/>
                <w:szCs w:val="28"/>
              </w:rPr>
              <w:t>щомісячні грошові виплати, у тому числі частини одноразової грошової допомоги, що виплачуються членам сімей загиблих (померлих) ветеранів війни, Захисників і Захисниць України.</w:t>
            </w:r>
          </w:p>
          <w:p w14:paraId="79143039" w14:textId="77777777" w:rsidR="00335F54" w:rsidRPr="00335F54" w:rsidRDefault="00335F54" w:rsidP="00335F54">
            <w:pPr>
              <w:ind w:firstLine="720"/>
              <w:jc w:val="both"/>
              <w:rPr>
                <w:b/>
                <w:sz w:val="28"/>
                <w:szCs w:val="28"/>
              </w:rPr>
            </w:pPr>
          </w:p>
          <w:p w14:paraId="0DA29482" w14:textId="77777777" w:rsidR="00335F54" w:rsidRPr="00335F54" w:rsidRDefault="00335F54" w:rsidP="00335F54">
            <w:pPr>
              <w:ind w:firstLine="720"/>
              <w:jc w:val="both"/>
              <w:rPr>
                <w:sz w:val="28"/>
                <w:szCs w:val="28"/>
              </w:rPr>
            </w:pPr>
            <w:r w:rsidRPr="00335F54">
              <w:rPr>
                <w:sz w:val="28"/>
                <w:szCs w:val="28"/>
              </w:rPr>
              <w:t>Кабінет Міністрів України може встановлювати інші об'єкти індексації, що не передбачені частиною першою цієї статті.</w:t>
            </w:r>
          </w:p>
          <w:p w14:paraId="312804FC" w14:textId="2B29B741" w:rsidR="00335F54" w:rsidRDefault="00335F54" w:rsidP="00335F54">
            <w:pPr>
              <w:ind w:firstLine="720"/>
              <w:jc w:val="both"/>
              <w:rPr>
                <w:sz w:val="28"/>
                <w:szCs w:val="28"/>
              </w:rPr>
            </w:pPr>
            <w:r w:rsidRPr="00335F54">
              <w:rPr>
                <w:sz w:val="28"/>
                <w:szCs w:val="28"/>
              </w:rPr>
              <w:t>Соціальні виплати, що мають цільовий і разовий характер (допомога при народженні дитини, допомога на поховання, матеріальна допомога, одноразова допомога при виході на пенсію тощо), а також допомога у зв'язку з вагітністю і пологами індексації не підлягають. Підтримка купівельної спроможності провадиться шляхом підвищення розміру зазначених виплат.</w:t>
            </w:r>
          </w:p>
          <w:p w14:paraId="7A681599" w14:textId="77777777" w:rsidR="00335F54" w:rsidRPr="00335F54" w:rsidRDefault="00335F54" w:rsidP="00335F54">
            <w:pPr>
              <w:ind w:firstLine="720"/>
              <w:jc w:val="both"/>
              <w:rPr>
                <w:sz w:val="28"/>
                <w:szCs w:val="28"/>
              </w:rPr>
            </w:pPr>
          </w:p>
          <w:p w14:paraId="67541581" w14:textId="06117862" w:rsidR="00335F54" w:rsidRDefault="00335F54" w:rsidP="00335F54">
            <w:pPr>
              <w:ind w:firstLine="720"/>
              <w:jc w:val="both"/>
              <w:rPr>
                <w:b/>
                <w:sz w:val="28"/>
                <w:szCs w:val="28"/>
              </w:rPr>
            </w:pPr>
            <w:r w:rsidRPr="00335F54">
              <w:rPr>
                <w:b/>
                <w:sz w:val="28"/>
                <w:szCs w:val="28"/>
              </w:rPr>
              <w:t>Одноразова грошова допомога у зв’язку із загибеллю (смертю) ветеранів війни, Захисників і Захисниць України, яка виплачується частинами протягом певного періоду, вважається грошовим доходом, що не має разового характеру, та підлягає індексації на загальних підставах відповідно до цього Закону.</w:t>
            </w:r>
          </w:p>
          <w:p w14:paraId="67440D5C" w14:textId="77777777" w:rsidR="00335F54" w:rsidRPr="00335F54" w:rsidRDefault="00335F54" w:rsidP="00335F54">
            <w:pPr>
              <w:ind w:firstLine="720"/>
              <w:jc w:val="both"/>
              <w:rPr>
                <w:b/>
                <w:sz w:val="28"/>
                <w:szCs w:val="28"/>
              </w:rPr>
            </w:pPr>
          </w:p>
          <w:p w14:paraId="1FC9ED87" w14:textId="77777777" w:rsidR="00335F54" w:rsidRPr="00335F54" w:rsidRDefault="00335F54" w:rsidP="00335F54">
            <w:pPr>
              <w:ind w:firstLine="720"/>
              <w:jc w:val="both"/>
              <w:rPr>
                <w:sz w:val="28"/>
                <w:szCs w:val="28"/>
              </w:rPr>
            </w:pPr>
            <w:r w:rsidRPr="00335F54">
              <w:rPr>
                <w:sz w:val="28"/>
                <w:szCs w:val="28"/>
              </w:rPr>
              <w:t>Підтримка купівельної спроможності соціальних виплат, які визначаються залежно від прожиткового мінімуму, здійснюється шляхом перегляду їх розміру у зв'язку із зростанням прожиткового мінімуму відповідно до законодавства.</w:t>
            </w:r>
          </w:p>
          <w:p w14:paraId="20AA0A98" w14:textId="54771B42" w:rsidR="00335F54" w:rsidRPr="00335F54" w:rsidRDefault="00335F54" w:rsidP="00335F54">
            <w:pPr>
              <w:ind w:firstLine="720"/>
              <w:jc w:val="both"/>
              <w:rPr>
                <w:sz w:val="28"/>
                <w:szCs w:val="28"/>
              </w:rPr>
            </w:pPr>
            <w:r w:rsidRPr="00335F54">
              <w:rPr>
                <w:sz w:val="28"/>
                <w:szCs w:val="28"/>
              </w:rPr>
              <w:t>Індексація пенсій проводиться у порядку, визначеному Кабінетом Міністрів України, із застосуванням коефіцієнта збільшення, що визначається відповідно до абзаців другого і третього частини другої статті 42 Закону України "Про загальнообов’язкове державне пенсійне страхування".</w:t>
            </w:r>
          </w:p>
          <w:p w14:paraId="366525B0" w14:textId="3682F006" w:rsidR="00335F54" w:rsidRPr="00335F54" w:rsidRDefault="00335F54" w:rsidP="00335F54">
            <w:pPr>
              <w:ind w:firstLine="720"/>
              <w:jc w:val="both"/>
              <w:rPr>
                <w:sz w:val="28"/>
                <w:szCs w:val="28"/>
              </w:rPr>
            </w:pPr>
            <w:r w:rsidRPr="00335F54">
              <w:rPr>
                <w:sz w:val="28"/>
                <w:szCs w:val="28"/>
              </w:rPr>
              <w:t>Індексації підлягають грошові доходи населення у межах прожиткового мінімуму, встановленого для відповідних соціальних і демографічних груп населення.</w:t>
            </w:r>
          </w:p>
          <w:p w14:paraId="61639AD1" w14:textId="20BDDBC5" w:rsidR="00335F54" w:rsidRDefault="00335F54" w:rsidP="00335F54">
            <w:pPr>
              <w:ind w:firstLine="720"/>
              <w:jc w:val="both"/>
              <w:rPr>
                <w:sz w:val="28"/>
                <w:szCs w:val="28"/>
              </w:rPr>
            </w:pPr>
            <w:r w:rsidRPr="00335F54">
              <w:rPr>
                <w:sz w:val="28"/>
                <w:szCs w:val="28"/>
              </w:rPr>
              <w:t xml:space="preserve">Підтримка купівельної спроможності винагород, компенсаційних та інших виплат, що сплачуються резидентами Дія Сіті працівникам та </w:t>
            </w:r>
            <w:proofErr w:type="spellStart"/>
            <w:r w:rsidRPr="00335F54">
              <w:rPr>
                <w:sz w:val="28"/>
                <w:szCs w:val="28"/>
              </w:rPr>
              <w:t>гіг</w:t>
            </w:r>
            <w:proofErr w:type="spellEnd"/>
            <w:r w:rsidRPr="00335F54">
              <w:rPr>
                <w:sz w:val="28"/>
                <w:szCs w:val="28"/>
              </w:rPr>
              <w:t xml:space="preserve">-спеціалістам, забезпечується встановленою Законом України "Про стимулювання розвитку цифрової економіки в Україні" вимогою до резидентів Дія Сіті щодо забезпечення визначеного таким законом розміру середньої місячної винагороди працівників та </w:t>
            </w:r>
            <w:proofErr w:type="spellStart"/>
            <w:r w:rsidRPr="00335F54">
              <w:rPr>
                <w:sz w:val="28"/>
                <w:szCs w:val="28"/>
              </w:rPr>
              <w:t>гіг</w:t>
            </w:r>
            <w:proofErr w:type="spellEnd"/>
            <w:r w:rsidRPr="00335F54">
              <w:rPr>
                <w:sz w:val="28"/>
                <w:szCs w:val="28"/>
              </w:rPr>
              <w:t>-спеціалістів, а також періодичними переглядами розміру винагороди, що здійснюються резидентами Дія Сіті в межах їх компетенції.</w:t>
            </w:r>
          </w:p>
          <w:p w14:paraId="2EA4D2C2" w14:textId="77777777" w:rsidR="00335F54" w:rsidRPr="00335F54" w:rsidRDefault="00335F54" w:rsidP="00335F54">
            <w:pPr>
              <w:ind w:firstLine="720"/>
              <w:jc w:val="both"/>
              <w:rPr>
                <w:sz w:val="28"/>
                <w:szCs w:val="28"/>
              </w:rPr>
            </w:pPr>
          </w:p>
          <w:p w14:paraId="27AEB73E" w14:textId="77777777" w:rsidR="00590C9F" w:rsidRDefault="00335F54" w:rsidP="00335F54">
            <w:pPr>
              <w:ind w:firstLine="720"/>
              <w:jc w:val="both"/>
              <w:rPr>
                <w:b/>
                <w:sz w:val="28"/>
                <w:szCs w:val="28"/>
              </w:rPr>
            </w:pPr>
            <w:r w:rsidRPr="00335F54">
              <w:rPr>
                <w:b/>
                <w:sz w:val="28"/>
                <w:szCs w:val="28"/>
              </w:rPr>
              <w:t xml:space="preserve">Індексація грошових доходів, передбачених абзацом восьмим частини першої цієї статті, здійснюється щороку з 1 березня. Коефіцієнт індексації </w:t>
            </w:r>
            <w:r w:rsidRPr="00335F54">
              <w:rPr>
                <w:b/>
                <w:sz w:val="28"/>
                <w:szCs w:val="28"/>
              </w:rPr>
              <w:lastRenderedPageBreak/>
              <w:t>таких виплат не може бути меншим за коефіцієнт, застосований у відповідному році для індексації пенсій відповідно до законодавства про загальнообов’язкове державне пенсійне страхування.</w:t>
            </w:r>
          </w:p>
          <w:p w14:paraId="390B3926" w14:textId="79F784CD" w:rsidR="008C218F" w:rsidRPr="00335F54" w:rsidRDefault="008C218F" w:rsidP="00335F54">
            <w:pPr>
              <w:ind w:firstLine="720"/>
              <w:jc w:val="both"/>
              <w:rPr>
                <w:b/>
                <w:sz w:val="28"/>
                <w:szCs w:val="28"/>
              </w:rPr>
            </w:pPr>
          </w:p>
        </w:tc>
      </w:tr>
      <w:tr w:rsidR="00335F54" w:rsidRPr="009C08C9" w14:paraId="426A9ACF" w14:textId="77777777" w:rsidTr="001A25AD">
        <w:tc>
          <w:tcPr>
            <w:tcW w:w="14560" w:type="dxa"/>
            <w:gridSpan w:val="2"/>
          </w:tcPr>
          <w:p w14:paraId="44105A72" w14:textId="78250A48" w:rsidR="00335F54" w:rsidRPr="00335F54" w:rsidRDefault="00335F54" w:rsidP="00335F54">
            <w:pPr>
              <w:ind w:firstLine="720"/>
              <w:jc w:val="center"/>
              <w:rPr>
                <w:b/>
                <w:sz w:val="28"/>
                <w:szCs w:val="28"/>
              </w:rPr>
            </w:pPr>
            <w:r w:rsidRPr="00335F54">
              <w:rPr>
                <w:b/>
                <w:sz w:val="28"/>
                <w:szCs w:val="28"/>
              </w:rPr>
              <w:lastRenderedPageBreak/>
              <w:t>Закон України "Про статус ветеранів війни, гарантії їх соціального захисту"</w:t>
            </w:r>
          </w:p>
        </w:tc>
      </w:tr>
      <w:tr w:rsidR="00335F54" w:rsidRPr="009C08C9" w14:paraId="5F148B2B" w14:textId="77777777" w:rsidTr="0017286F">
        <w:tc>
          <w:tcPr>
            <w:tcW w:w="7280" w:type="dxa"/>
          </w:tcPr>
          <w:p w14:paraId="6A8FB38F" w14:textId="53E0B972" w:rsidR="00335F54" w:rsidRPr="00335F54" w:rsidRDefault="00335F54" w:rsidP="00335F54">
            <w:pPr>
              <w:ind w:firstLine="720"/>
              <w:jc w:val="center"/>
              <w:rPr>
                <w:b/>
                <w:sz w:val="28"/>
                <w:szCs w:val="28"/>
              </w:rPr>
            </w:pPr>
            <w:r>
              <w:rPr>
                <w:sz w:val="28"/>
                <w:szCs w:val="28"/>
              </w:rPr>
              <w:t>Чинна редакція</w:t>
            </w:r>
          </w:p>
        </w:tc>
        <w:tc>
          <w:tcPr>
            <w:tcW w:w="7280" w:type="dxa"/>
          </w:tcPr>
          <w:p w14:paraId="25E8626C" w14:textId="6F372E84" w:rsidR="00335F54" w:rsidRPr="00335F54" w:rsidRDefault="00335F54" w:rsidP="00335F54">
            <w:pPr>
              <w:ind w:firstLine="720"/>
              <w:jc w:val="center"/>
              <w:rPr>
                <w:b/>
                <w:sz w:val="28"/>
                <w:szCs w:val="28"/>
              </w:rPr>
            </w:pPr>
            <w:r>
              <w:rPr>
                <w:sz w:val="28"/>
                <w:szCs w:val="28"/>
              </w:rPr>
              <w:t>Редакція, що пропонується</w:t>
            </w:r>
          </w:p>
        </w:tc>
      </w:tr>
      <w:tr w:rsidR="00335F54" w:rsidRPr="009C08C9" w14:paraId="7DB58270" w14:textId="77777777" w:rsidTr="0017286F">
        <w:tc>
          <w:tcPr>
            <w:tcW w:w="7280" w:type="dxa"/>
          </w:tcPr>
          <w:p w14:paraId="14B70C53" w14:textId="77777777" w:rsidR="00335F54" w:rsidRDefault="00335F54" w:rsidP="00335F54">
            <w:pPr>
              <w:ind w:firstLine="720"/>
              <w:jc w:val="center"/>
              <w:rPr>
                <w:b/>
                <w:sz w:val="28"/>
                <w:szCs w:val="28"/>
              </w:rPr>
            </w:pPr>
          </w:p>
          <w:p w14:paraId="0BB0C248" w14:textId="77777777" w:rsidR="00335F54" w:rsidRDefault="00335F54" w:rsidP="00335F54">
            <w:pPr>
              <w:ind w:firstLine="720"/>
              <w:jc w:val="center"/>
              <w:rPr>
                <w:b/>
                <w:sz w:val="28"/>
                <w:szCs w:val="28"/>
              </w:rPr>
            </w:pPr>
          </w:p>
          <w:p w14:paraId="018C524B" w14:textId="4D608A91" w:rsidR="00335F54" w:rsidRPr="00335F54" w:rsidRDefault="00335F54" w:rsidP="00335F54">
            <w:pPr>
              <w:ind w:firstLine="720"/>
              <w:jc w:val="center"/>
              <w:rPr>
                <w:sz w:val="28"/>
                <w:szCs w:val="28"/>
              </w:rPr>
            </w:pPr>
            <w:r w:rsidRPr="00335F54">
              <w:rPr>
                <w:sz w:val="28"/>
                <w:szCs w:val="28"/>
              </w:rPr>
              <w:t>Відсутня</w:t>
            </w:r>
          </w:p>
        </w:tc>
        <w:tc>
          <w:tcPr>
            <w:tcW w:w="7280" w:type="dxa"/>
          </w:tcPr>
          <w:p w14:paraId="228A7510" w14:textId="77777777" w:rsidR="00335F54" w:rsidRPr="00335F54" w:rsidRDefault="00335F54" w:rsidP="00335F54">
            <w:pPr>
              <w:ind w:firstLine="720"/>
              <w:jc w:val="both"/>
              <w:rPr>
                <w:b/>
                <w:sz w:val="28"/>
                <w:szCs w:val="28"/>
              </w:rPr>
            </w:pPr>
            <w:r w:rsidRPr="00335F54">
              <w:rPr>
                <w:b/>
                <w:sz w:val="28"/>
                <w:szCs w:val="28"/>
              </w:rPr>
              <w:t>Стаття 15</w:t>
            </w:r>
            <w:r w:rsidRPr="00335F54">
              <w:rPr>
                <w:b/>
                <w:sz w:val="28"/>
                <w:szCs w:val="28"/>
                <w:vertAlign w:val="superscript"/>
              </w:rPr>
              <w:t>2</w:t>
            </w:r>
            <w:r w:rsidRPr="00335F54">
              <w:rPr>
                <w:b/>
                <w:sz w:val="28"/>
                <w:szCs w:val="28"/>
              </w:rPr>
              <w:t>. Індексація грошових виплат членам сімей загиблих (померлих) ветеранів війни, Захисників і Захисниць України</w:t>
            </w:r>
          </w:p>
          <w:p w14:paraId="2644B19A" w14:textId="77777777" w:rsidR="00335F54" w:rsidRDefault="00335F54" w:rsidP="00335F54">
            <w:pPr>
              <w:ind w:firstLine="720"/>
              <w:jc w:val="both"/>
              <w:rPr>
                <w:b/>
                <w:sz w:val="28"/>
                <w:szCs w:val="28"/>
              </w:rPr>
            </w:pPr>
            <w:r w:rsidRPr="00335F54">
              <w:rPr>
                <w:b/>
                <w:sz w:val="28"/>
                <w:szCs w:val="28"/>
              </w:rPr>
              <w:t>Грошові виплати сім’ям загиблих (померлих) ветеранів війни, Захисників і Захисниць України, підлягають щорічній індексації відповідно до Закону України «Про індексацію грошових доходів населення.</w:t>
            </w:r>
          </w:p>
          <w:p w14:paraId="7F3DB77F" w14:textId="6EFE20FE" w:rsidR="008C218F" w:rsidRPr="00335F54" w:rsidRDefault="008C218F" w:rsidP="00335F54">
            <w:pPr>
              <w:ind w:firstLine="720"/>
              <w:jc w:val="both"/>
              <w:rPr>
                <w:b/>
                <w:sz w:val="28"/>
                <w:szCs w:val="28"/>
              </w:rPr>
            </w:pPr>
          </w:p>
        </w:tc>
      </w:tr>
      <w:tr w:rsidR="00335F54" w:rsidRPr="009C08C9" w14:paraId="4E642DAF" w14:textId="77777777" w:rsidTr="00B152CA">
        <w:tc>
          <w:tcPr>
            <w:tcW w:w="14560" w:type="dxa"/>
            <w:gridSpan w:val="2"/>
          </w:tcPr>
          <w:p w14:paraId="5DCE4CC6" w14:textId="3A050D65" w:rsidR="00335F54" w:rsidRPr="00335F54" w:rsidRDefault="00335F54" w:rsidP="00335F54">
            <w:pPr>
              <w:ind w:firstLine="720"/>
              <w:jc w:val="center"/>
              <w:rPr>
                <w:b/>
                <w:sz w:val="28"/>
                <w:szCs w:val="28"/>
              </w:rPr>
            </w:pPr>
            <w:r w:rsidRPr="00335F54">
              <w:rPr>
                <w:b/>
                <w:sz w:val="28"/>
                <w:szCs w:val="28"/>
              </w:rPr>
              <w:t>Закон України "Про соціальний і правовий захист військовослужбовців та членів їх сімей"</w:t>
            </w:r>
          </w:p>
        </w:tc>
      </w:tr>
      <w:tr w:rsidR="00335F54" w:rsidRPr="009C08C9" w14:paraId="71528039" w14:textId="77777777" w:rsidTr="0017286F">
        <w:tc>
          <w:tcPr>
            <w:tcW w:w="7280" w:type="dxa"/>
          </w:tcPr>
          <w:p w14:paraId="492D386E" w14:textId="14B03A2F" w:rsidR="00335F54" w:rsidRPr="00335F54" w:rsidRDefault="00335F54" w:rsidP="00335F54">
            <w:pPr>
              <w:ind w:firstLine="720"/>
              <w:jc w:val="center"/>
              <w:rPr>
                <w:b/>
                <w:sz w:val="28"/>
                <w:szCs w:val="28"/>
              </w:rPr>
            </w:pPr>
            <w:r>
              <w:rPr>
                <w:sz w:val="28"/>
                <w:szCs w:val="28"/>
              </w:rPr>
              <w:t>Чинна редакція</w:t>
            </w:r>
          </w:p>
        </w:tc>
        <w:tc>
          <w:tcPr>
            <w:tcW w:w="7280" w:type="dxa"/>
          </w:tcPr>
          <w:p w14:paraId="66DAC207" w14:textId="47B4CD41" w:rsidR="00335F54" w:rsidRPr="00335F54" w:rsidRDefault="00335F54" w:rsidP="00335F54">
            <w:pPr>
              <w:ind w:firstLine="720"/>
              <w:jc w:val="center"/>
              <w:rPr>
                <w:b/>
                <w:sz w:val="28"/>
                <w:szCs w:val="28"/>
              </w:rPr>
            </w:pPr>
            <w:r>
              <w:rPr>
                <w:sz w:val="28"/>
                <w:szCs w:val="28"/>
              </w:rPr>
              <w:t>Редакція, що пропонується</w:t>
            </w:r>
          </w:p>
        </w:tc>
      </w:tr>
      <w:tr w:rsidR="00335F54" w:rsidRPr="009C08C9" w14:paraId="69457281" w14:textId="77777777" w:rsidTr="0017286F">
        <w:tc>
          <w:tcPr>
            <w:tcW w:w="7280" w:type="dxa"/>
          </w:tcPr>
          <w:p w14:paraId="482C8165" w14:textId="77777777" w:rsidR="00335F54" w:rsidRDefault="00335F54" w:rsidP="00335F54">
            <w:pPr>
              <w:ind w:firstLine="720"/>
              <w:jc w:val="both"/>
              <w:rPr>
                <w:b/>
                <w:sz w:val="28"/>
                <w:szCs w:val="28"/>
              </w:rPr>
            </w:pPr>
          </w:p>
          <w:p w14:paraId="62ADF362" w14:textId="12EBF452" w:rsidR="00335F54" w:rsidRDefault="00335F54" w:rsidP="00335F54">
            <w:pPr>
              <w:ind w:firstLine="720"/>
              <w:jc w:val="center"/>
              <w:rPr>
                <w:b/>
                <w:sz w:val="28"/>
                <w:szCs w:val="28"/>
              </w:rPr>
            </w:pPr>
            <w:r w:rsidRPr="00335F54">
              <w:rPr>
                <w:b/>
                <w:sz w:val="28"/>
                <w:szCs w:val="28"/>
              </w:rPr>
              <w:t>Відсутня</w:t>
            </w:r>
          </w:p>
          <w:p w14:paraId="36489CB0" w14:textId="6E6CE584" w:rsidR="00335F54" w:rsidRPr="00335F54" w:rsidRDefault="00335F54" w:rsidP="00335F54">
            <w:pPr>
              <w:ind w:firstLine="720"/>
              <w:jc w:val="both"/>
              <w:rPr>
                <w:b/>
                <w:sz w:val="28"/>
                <w:szCs w:val="28"/>
              </w:rPr>
            </w:pPr>
          </w:p>
        </w:tc>
        <w:tc>
          <w:tcPr>
            <w:tcW w:w="7280" w:type="dxa"/>
          </w:tcPr>
          <w:p w14:paraId="7FF6BE9C" w14:textId="77777777" w:rsidR="00335F54" w:rsidRPr="00335F54" w:rsidRDefault="00335F54" w:rsidP="00335F54">
            <w:pPr>
              <w:ind w:firstLine="720"/>
              <w:jc w:val="both"/>
              <w:rPr>
                <w:b/>
                <w:sz w:val="28"/>
                <w:szCs w:val="28"/>
              </w:rPr>
            </w:pPr>
            <w:r w:rsidRPr="00335F54">
              <w:rPr>
                <w:b/>
                <w:sz w:val="28"/>
                <w:szCs w:val="28"/>
              </w:rPr>
              <w:t>Стаття 16</w:t>
            </w:r>
            <w:r w:rsidRPr="00335F54">
              <w:rPr>
                <w:b/>
                <w:sz w:val="28"/>
                <w:szCs w:val="28"/>
                <w:vertAlign w:val="superscript"/>
              </w:rPr>
              <w:t>5</w:t>
            </w:r>
            <w:r w:rsidRPr="00335F54">
              <w:rPr>
                <w:b/>
                <w:sz w:val="28"/>
                <w:szCs w:val="28"/>
              </w:rPr>
              <w:t>. Індексація одноразової грошової допомоги</w:t>
            </w:r>
          </w:p>
          <w:p w14:paraId="1B3922C4" w14:textId="77777777" w:rsidR="00335F54" w:rsidRDefault="00335F54" w:rsidP="00335F54">
            <w:pPr>
              <w:ind w:firstLine="720"/>
              <w:jc w:val="both"/>
              <w:rPr>
                <w:b/>
                <w:sz w:val="28"/>
                <w:szCs w:val="28"/>
              </w:rPr>
            </w:pPr>
            <w:r w:rsidRPr="00335F54">
              <w:rPr>
                <w:b/>
                <w:sz w:val="28"/>
                <w:szCs w:val="28"/>
              </w:rPr>
              <w:t>Одноразова грошова допомога у разі загибелі (смерті)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 підлягає щорічній індексації відповідно до Закону України «Про індексацію грошових доходів населення.</w:t>
            </w:r>
          </w:p>
          <w:p w14:paraId="1AAFE734" w14:textId="345E2834" w:rsidR="008C218F" w:rsidRPr="00335F54" w:rsidRDefault="008C218F" w:rsidP="00335F54">
            <w:pPr>
              <w:ind w:firstLine="720"/>
              <w:jc w:val="both"/>
              <w:rPr>
                <w:b/>
                <w:sz w:val="28"/>
                <w:szCs w:val="28"/>
              </w:rPr>
            </w:pPr>
          </w:p>
        </w:tc>
        <w:bookmarkStart w:id="3" w:name="_GoBack"/>
        <w:bookmarkEnd w:id="3"/>
      </w:tr>
    </w:tbl>
    <w:p w14:paraId="5796B3D4" w14:textId="77777777" w:rsidR="009C08C9" w:rsidRPr="00091738" w:rsidRDefault="009C08C9" w:rsidP="00E74336">
      <w:pPr>
        <w:tabs>
          <w:tab w:val="center" w:pos="7426"/>
          <w:tab w:val="left" w:pos="13332"/>
        </w:tabs>
        <w:jc w:val="center"/>
        <w:rPr>
          <w:b/>
          <w:sz w:val="28"/>
          <w:szCs w:val="28"/>
        </w:rPr>
      </w:pPr>
    </w:p>
    <w:p w14:paraId="1668AB97" w14:textId="77777777" w:rsidR="00606412" w:rsidRPr="00091738" w:rsidRDefault="001159E5" w:rsidP="001159E5">
      <w:pPr>
        <w:ind w:firstLine="708"/>
        <w:rPr>
          <w:b/>
          <w:sz w:val="28"/>
          <w:szCs w:val="28"/>
        </w:rPr>
      </w:pPr>
      <w:r w:rsidRPr="00091738">
        <w:rPr>
          <w:b/>
          <w:sz w:val="28"/>
          <w:szCs w:val="28"/>
        </w:rPr>
        <w:t>Народний депутат України</w:t>
      </w:r>
      <w:r w:rsidR="00606412" w:rsidRPr="00091738">
        <w:rPr>
          <w:b/>
          <w:sz w:val="28"/>
          <w:szCs w:val="28"/>
        </w:rPr>
        <w:tab/>
      </w:r>
      <w:r w:rsidR="00606412" w:rsidRPr="00091738">
        <w:rPr>
          <w:b/>
          <w:sz w:val="28"/>
          <w:szCs w:val="28"/>
        </w:rPr>
        <w:tab/>
      </w:r>
      <w:r w:rsidR="00606412" w:rsidRPr="00091738">
        <w:rPr>
          <w:b/>
          <w:sz w:val="28"/>
          <w:szCs w:val="28"/>
        </w:rPr>
        <w:tab/>
      </w:r>
      <w:r w:rsidR="00606412" w:rsidRPr="00091738">
        <w:rPr>
          <w:b/>
          <w:sz w:val="28"/>
          <w:szCs w:val="28"/>
        </w:rPr>
        <w:tab/>
      </w:r>
      <w:r w:rsidR="00606412" w:rsidRPr="00091738">
        <w:rPr>
          <w:b/>
          <w:sz w:val="28"/>
          <w:szCs w:val="28"/>
        </w:rPr>
        <w:tab/>
      </w:r>
      <w:r w:rsidR="00606412" w:rsidRPr="00091738">
        <w:rPr>
          <w:b/>
          <w:sz w:val="28"/>
          <w:szCs w:val="28"/>
        </w:rPr>
        <w:tab/>
      </w:r>
      <w:r w:rsidR="00606412" w:rsidRPr="00091738">
        <w:rPr>
          <w:b/>
          <w:sz w:val="28"/>
          <w:szCs w:val="28"/>
        </w:rPr>
        <w:tab/>
      </w:r>
      <w:r w:rsidR="00606412" w:rsidRPr="00091738">
        <w:rPr>
          <w:b/>
          <w:sz w:val="28"/>
          <w:szCs w:val="28"/>
        </w:rPr>
        <w:tab/>
      </w:r>
      <w:r w:rsidR="00606412" w:rsidRPr="00091738">
        <w:rPr>
          <w:b/>
          <w:sz w:val="28"/>
          <w:szCs w:val="28"/>
        </w:rPr>
        <w:tab/>
      </w:r>
      <w:r w:rsidR="00606412" w:rsidRPr="00091738">
        <w:rPr>
          <w:b/>
          <w:sz w:val="28"/>
          <w:szCs w:val="28"/>
        </w:rPr>
        <w:tab/>
      </w:r>
      <w:bookmarkEnd w:id="0"/>
      <w:proofErr w:type="spellStart"/>
      <w:r w:rsidRPr="00091738">
        <w:rPr>
          <w:b/>
          <w:sz w:val="28"/>
          <w:szCs w:val="28"/>
        </w:rPr>
        <w:t>Дубінський</w:t>
      </w:r>
      <w:proofErr w:type="spellEnd"/>
      <w:r w:rsidRPr="00091738">
        <w:rPr>
          <w:b/>
          <w:sz w:val="28"/>
          <w:szCs w:val="28"/>
        </w:rPr>
        <w:t xml:space="preserve"> О.А.</w:t>
      </w:r>
    </w:p>
    <w:sectPr w:rsidR="00606412" w:rsidRPr="00091738" w:rsidSect="00F17980">
      <w:headerReference w:type="default" r:id="rId8"/>
      <w:pgSz w:w="16838" w:h="11906" w:orient="landscape"/>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9789D" w14:textId="77777777" w:rsidR="00555B15" w:rsidRDefault="00555B15" w:rsidP="00CA0AFC">
      <w:r>
        <w:separator/>
      </w:r>
    </w:p>
  </w:endnote>
  <w:endnote w:type="continuationSeparator" w:id="0">
    <w:p w14:paraId="3EE068A1" w14:textId="77777777" w:rsidR="00555B15" w:rsidRDefault="00555B15" w:rsidP="00CA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1A77D" w14:textId="77777777" w:rsidR="00555B15" w:rsidRDefault="00555B15" w:rsidP="00CA0AFC">
      <w:r>
        <w:separator/>
      </w:r>
    </w:p>
  </w:footnote>
  <w:footnote w:type="continuationSeparator" w:id="0">
    <w:p w14:paraId="6D577CA3" w14:textId="77777777" w:rsidR="00555B15" w:rsidRDefault="00555B15" w:rsidP="00CA0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CAC7" w14:textId="77777777" w:rsidR="007137EB" w:rsidRPr="00CA0AFC" w:rsidRDefault="007137EB">
    <w:pPr>
      <w:pStyle w:val="a6"/>
      <w:jc w:val="center"/>
      <w:rPr>
        <w:sz w:val="28"/>
        <w:szCs w:val="28"/>
      </w:rPr>
    </w:pPr>
    <w:r w:rsidRPr="00CA0AFC">
      <w:rPr>
        <w:sz w:val="28"/>
        <w:szCs w:val="28"/>
      </w:rPr>
      <w:fldChar w:fldCharType="begin"/>
    </w:r>
    <w:r w:rsidRPr="00CA0AFC">
      <w:rPr>
        <w:sz w:val="28"/>
        <w:szCs w:val="28"/>
      </w:rPr>
      <w:instrText>PAGE   \* MERGEFORMAT</w:instrText>
    </w:r>
    <w:r w:rsidRPr="00CA0AFC">
      <w:rPr>
        <w:sz w:val="28"/>
        <w:szCs w:val="28"/>
      </w:rPr>
      <w:fldChar w:fldCharType="separate"/>
    </w:r>
    <w:r>
      <w:rPr>
        <w:noProof/>
        <w:sz w:val="28"/>
        <w:szCs w:val="28"/>
      </w:rPr>
      <w:t>9</w:t>
    </w:r>
    <w:r w:rsidRPr="00CA0AFC">
      <w:rPr>
        <w:sz w:val="28"/>
        <w:szCs w:val="28"/>
      </w:rPr>
      <w:fldChar w:fldCharType="end"/>
    </w:r>
  </w:p>
  <w:p w14:paraId="406F2343" w14:textId="77777777" w:rsidR="007137EB" w:rsidRDefault="007137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D0E45"/>
    <w:multiLevelType w:val="hybridMultilevel"/>
    <w:tmpl w:val="BBF06BD8"/>
    <w:lvl w:ilvl="0" w:tplc="84C611CA">
      <w:start w:val="3"/>
      <w:numFmt w:val="bullet"/>
      <w:lvlText w:val=""/>
      <w:lvlJc w:val="left"/>
      <w:pPr>
        <w:ind w:left="720" w:hanging="360"/>
      </w:pPr>
      <w:rPr>
        <w:rFonts w:ascii="Wingdings" w:eastAsia="Times New Roman"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7F"/>
    <w:rsid w:val="00015606"/>
    <w:rsid w:val="000231DB"/>
    <w:rsid w:val="00023DF7"/>
    <w:rsid w:val="00024043"/>
    <w:rsid w:val="000264DC"/>
    <w:rsid w:val="00026D2E"/>
    <w:rsid w:val="00033B47"/>
    <w:rsid w:val="00034BFA"/>
    <w:rsid w:val="0004387E"/>
    <w:rsid w:val="00045CC4"/>
    <w:rsid w:val="00054B29"/>
    <w:rsid w:val="000560D8"/>
    <w:rsid w:val="000730CD"/>
    <w:rsid w:val="00073D20"/>
    <w:rsid w:val="00081EDE"/>
    <w:rsid w:val="00091738"/>
    <w:rsid w:val="000A10E9"/>
    <w:rsid w:val="000A1CC1"/>
    <w:rsid w:val="000A2081"/>
    <w:rsid w:val="000B2D8A"/>
    <w:rsid w:val="000B5124"/>
    <w:rsid w:val="000C2DFA"/>
    <w:rsid w:val="000C61CF"/>
    <w:rsid w:val="000D1A7A"/>
    <w:rsid w:val="000E2F7E"/>
    <w:rsid w:val="000F495B"/>
    <w:rsid w:val="000F6099"/>
    <w:rsid w:val="00103B9D"/>
    <w:rsid w:val="001139EF"/>
    <w:rsid w:val="001159E5"/>
    <w:rsid w:val="00120C33"/>
    <w:rsid w:val="00125648"/>
    <w:rsid w:val="00130657"/>
    <w:rsid w:val="00133F7A"/>
    <w:rsid w:val="001359E1"/>
    <w:rsid w:val="0014466E"/>
    <w:rsid w:val="00146957"/>
    <w:rsid w:val="00147FC0"/>
    <w:rsid w:val="0015202A"/>
    <w:rsid w:val="001547C4"/>
    <w:rsid w:val="00154998"/>
    <w:rsid w:val="001615CA"/>
    <w:rsid w:val="00171734"/>
    <w:rsid w:val="00171A14"/>
    <w:rsid w:val="0017286F"/>
    <w:rsid w:val="0017464E"/>
    <w:rsid w:val="001752E7"/>
    <w:rsid w:val="001927E2"/>
    <w:rsid w:val="00195327"/>
    <w:rsid w:val="001A1197"/>
    <w:rsid w:val="001B180F"/>
    <w:rsid w:val="001B7F63"/>
    <w:rsid w:val="001C06C7"/>
    <w:rsid w:val="001C6021"/>
    <w:rsid w:val="001E2FDA"/>
    <w:rsid w:val="001E7D6B"/>
    <w:rsid w:val="00200C9F"/>
    <w:rsid w:val="00210D4C"/>
    <w:rsid w:val="00225B4F"/>
    <w:rsid w:val="00227CA9"/>
    <w:rsid w:val="0024098F"/>
    <w:rsid w:val="002628D9"/>
    <w:rsid w:val="00263345"/>
    <w:rsid w:val="00265B51"/>
    <w:rsid w:val="002707A7"/>
    <w:rsid w:val="00281342"/>
    <w:rsid w:val="002A3210"/>
    <w:rsid w:val="002A63A3"/>
    <w:rsid w:val="002B1EF9"/>
    <w:rsid w:val="002B7647"/>
    <w:rsid w:val="002C0136"/>
    <w:rsid w:val="002C3159"/>
    <w:rsid w:val="002C4E68"/>
    <w:rsid w:val="002C599B"/>
    <w:rsid w:val="002E19FA"/>
    <w:rsid w:val="002E43E2"/>
    <w:rsid w:val="002F1502"/>
    <w:rsid w:val="002F244A"/>
    <w:rsid w:val="00321F22"/>
    <w:rsid w:val="003239D2"/>
    <w:rsid w:val="0033174A"/>
    <w:rsid w:val="00332F62"/>
    <w:rsid w:val="00335F54"/>
    <w:rsid w:val="003361F1"/>
    <w:rsid w:val="00340309"/>
    <w:rsid w:val="003442F4"/>
    <w:rsid w:val="00347C23"/>
    <w:rsid w:val="00363D9C"/>
    <w:rsid w:val="00367BBF"/>
    <w:rsid w:val="003777F5"/>
    <w:rsid w:val="00380CB3"/>
    <w:rsid w:val="00393036"/>
    <w:rsid w:val="00394DBE"/>
    <w:rsid w:val="003A0C26"/>
    <w:rsid w:val="003A7391"/>
    <w:rsid w:val="003C3D9B"/>
    <w:rsid w:val="003D20C0"/>
    <w:rsid w:val="003D2271"/>
    <w:rsid w:val="003D2A70"/>
    <w:rsid w:val="003F7C4F"/>
    <w:rsid w:val="00400DAC"/>
    <w:rsid w:val="00407939"/>
    <w:rsid w:val="004109B8"/>
    <w:rsid w:val="00414B0E"/>
    <w:rsid w:val="00433D51"/>
    <w:rsid w:val="00445610"/>
    <w:rsid w:val="004466A9"/>
    <w:rsid w:val="00460334"/>
    <w:rsid w:val="00471DF4"/>
    <w:rsid w:val="00477C82"/>
    <w:rsid w:val="00480322"/>
    <w:rsid w:val="00490971"/>
    <w:rsid w:val="00496380"/>
    <w:rsid w:val="00496E28"/>
    <w:rsid w:val="00496E3B"/>
    <w:rsid w:val="004A0D48"/>
    <w:rsid w:val="004A2BF6"/>
    <w:rsid w:val="004A4420"/>
    <w:rsid w:val="004A7157"/>
    <w:rsid w:val="004B25D4"/>
    <w:rsid w:val="004B2F53"/>
    <w:rsid w:val="004B377A"/>
    <w:rsid w:val="004C044D"/>
    <w:rsid w:val="004C501A"/>
    <w:rsid w:val="004D0EA8"/>
    <w:rsid w:val="004D0F19"/>
    <w:rsid w:val="004D10BD"/>
    <w:rsid w:val="004D53A3"/>
    <w:rsid w:val="004F1FBA"/>
    <w:rsid w:val="004F4156"/>
    <w:rsid w:val="00500292"/>
    <w:rsid w:val="00512E5B"/>
    <w:rsid w:val="00521AAF"/>
    <w:rsid w:val="00534714"/>
    <w:rsid w:val="00544716"/>
    <w:rsid w:val="00553FEA"/>
    <w:rsid w:val="00554255"/>
    <w:rsid w:val="00554EBF"/>
    <w:rsid w:val="00555B15"/>
    <w:rsid w:val="00557184"/>
    <w:rsid w:val="005575E2"/>
    <w:rsid w:val="005717B1"/>
    <w:rsid w:val="005770EB"/>
    <w:rsid w:val="0058380A"/>
    <w:rsid w:val="005838CD"/>
    <w:rsid w:val="00583B8C"/>
    <w:rsid w:val="00586A85"/>
    <w:rsid w:val="00587D56"/>
    <w:rsid w:val="00590C9F"/>
    <w:rsid w:val="00591BF5"/>
    <w:rsid w:val="005935CA"/>
    <w:rsid w:val="005B08CB"/>
    <w:rsid w:val="005B1655"/>
    <w:rsid w:val="005C4D9F"/>
    <w:rsid w:val="005E67BC"/>
    <w:rsid w:val="00600981"/>
    <w:rsid w:val="00606412"/>
    <w:rsid w:val="00611954"/>
    <w:rsid w:val="00624D3A"/>
    <w:rsid w:val="0064005E"/>
    <w:rsid w:val="00642342"/>
    <w:rsid w:val="00645636"/>
    <w:rsid w:val="0065331C"/>
    <w:rsid w:val="00660A46"/>
    <w:rsid w:val="0066301E"/>
    <w:rsid w:val="006671B6"/>
    <w:rsid w:val="006733C5"/>
    <w:rsid w:val="006733F4"/>
    <w:rsid w:val="006751DB"/>
    <w:rsid w:val="00685C8D"/>
    <w:rsid w:val="00686006"/>
    <w:rsid w:val="006A39E4"/>
    <w:rsid w:val="006A39E7"/>
    <w:rsid w:val="006B2D32"/>
    <w:rsid w:val="006B499D"/>
    <w:rsid w:val="006B644D"/>
    <w:rsid w:val="006C6CF5"/>
    <w:rsid w:val="006D37E9"/>
    <w:rsid w:val="006D54F8"/>
    <w:rsid w:val="006E6E45"/>
    <w:rsid w:val="006F0DE6"/>
    <w:rsid w:val="006F18DD"/>
    <w:rsid w:val="00700E94"/>
    <w:rsid w:val="007030DD"/>
    <w:rsid w:val="00704F1D"/>
    <w:rsid w:val="0070721B"/>
    <w:rsid w:val="00712AC8"/>
    <w:rsid w:val="007137EB"/>
    <w:rsid w:val="0071482F"/>
    <w:rsid w:val="00715605"/>
    <w:rsid w:val="00727272"/>
    <w:rsid w:val="00727D9E"/>
    <w:rsid w:val="007320CE"/>
    <w:rsid w:val="00736D43"/>
    <w:rsid w:val="00737B88"/>
    <w:rsid w:val="00740ECC"/>
    <w:rsid w:val="00762D8B"/>
    <w:rsid w:val="00765749"/>
    <w:rsid w:val="007814CD"/>
    <w:rsid w:val="007853BC"/>
    <w:rsid w:val="00785DBA"/>
    <w:rsid w:val="00794DEA"/>
    <w:rsid w:val="00796063"/>
    <w:rsid w:val="007A0CBC"/>
    <w:rsid w:val="007A7C21"/>
    <w:rsid w:val="007B0EB6"/>
    <w:rsid w:val="007B159A"/>
    <w:rsid w:val="007C582A"/>
    <w:rsid w:val="007E3B6B"/>
    <w:rsid w:val="007F0C86"/>
    <w:rsid w:val="007F2AF5"/>
    <w:rsid w:val="007F579A"/>
    <w:rsid w:val="00803B74"/>
    <w:rsid w:val="00803C41"/>
    <w:rsid w:val="00807C4D"/>
    <w:rsid w:val="0081248F"/>
    <w:rsid w:val="00826AC4"/>
    <w:rsid w:val="00832817"/>
    <w:rsid w:val="00855995"/>
    <w:rsid w:val="00856EE5"/>
    <w:rsid w:val="008603C9"/>
    <w:rsid w:val="00872E7F"/>
    <w:rsid w:val="00874496"/>
    <w:rsid w:val="008822EF"/>
    <w:rsid w:val="008A7649"/>
    <w:rsid w:val="008B0B22"/>
    <w:rsid w:val="008B1D44"/>
    <w:rsid w:val="008B5B95"/>
    <w:rsid w:val="008B7565"/>
    <w:rsid w:val="008C218F"/>
    <w:rsid w:val="008D1088"/>
    <w:rsid w:val="008E12B0"/>
    <w:rsid w:val="008F3EB4"/>
    <w:rsid w:val="008F4CF5"/>
    <w:rsid w:val="0090446B"/>
    <w:rsid w:val="009048F3"/>
    <w:rsid w:val="0092138D"/>
    <w:rsid w:val="00934F00"/>
    <w:rsid w:val="00935075"/>
    <w:rsid w:val="009448E3"/>
    <w:rsid w:val="009631D3"/>
    <w:rsid w:val="00963710"/>
    <w:rsid w:val="00964648"/>
    <w:rsid w:val="00964EB3"/>
    <w:rsid w:val="00967623"/>
    <w:rsid w:val="0099668A"/>
    <w:rsid w:val="009A7DDE"/>
    <w:rsid w:val="009B1B8B"/>
    <w:rsid w:val="009B6B79"/>
    <w:rsid w:val="009C08C9"/>
    <w:rsid w:val="009C6471"/>
    <w:rsid w:val="009E5BDA"/>
    <w:rsid w:val="009F1714"/>
    <w:rsid w:val="009F4ECF"/>
    <w:rsid w:val="00A100AD"/>
    <w:rsid w:val="00A16458"/>
    <w:rsid w:val="00A22A13"/>
    <w:rsid w:val="00A24DEA"/>
    <w:rsid w:val="00A34571"/>
    <w:rsid w:val="00A3716D"/>
    <w:rsid w:val="00A4417B"/>
    <w:rsid w:val="00A45F67"/>
    <w:rsid w:val="00A60313"/>
    <w:rsid w:val="00A658F9"/>
    <w:rsid w:val="00A673FE"/>
    <w:rsid w:val="00A705A9"/>
    <w:rsid w:val="00A766B4"/>
    <w:rsid w:val="00A92C6E"/>
    <w:rsid w:val="00A97435"/>
    <w:rsid w:val="00AA19DD"/>
    <w:rsid w:val="00AA432F"/>
    <w:rsid w:val="00AB138E"/>
    <w:rsid w:val="00AB7DBD"/>
    <w:rsid w:val="00AC4F9B"/>
    <w:rsid w:val="00AC5D83"/>
    <w:rsid w:val="00AD1258"/>
    <w:rsid w:val="00AD2B2A"/>
    <w:rsid w:val="00AD3407"/>
    <w:rsid w:val="00AD50E6"/>
    <w:rsid w:val="00AD6223"/>
    <w:rsid w:val="00AE7BDE"/>
    <w:rsid w:val="00AF0857"/>
    <w:rsid w:val="00AF20A8"/>
    <w:rsid w:val="00B00034"/>
    <w:rsid w:val="00B003A5"/>
    <w:rsid w:val="00B01572"/>
    <w:rsid w:val="00B04849"/>
    <w:rsid w:val="00B07049"/>
    <w:rsid w:val="00B113EC"/>
    <w:rsid w:val="00B15368"/>
    <w:rsid w:val="00B16A14"/>
    <w:rsid w:val="00B21F63"/>
    <w:rsid w:val="00B25E38"/>
    <w:rsid w:val="00B30AE7"/>
    <w:rsid w:val="00B3137F"/>
    <w:rsid w:val="00B501FD"/>
    <w:rsid w:val="00B54442"/>
    <w:rsid w:val="00B568BC"/>
    <w:rsid w:val="00B9792E"/>
    <w:rsid w:val="00BA08B3"/>
    <w:rsid w:val="00BA36B6"/>
    <w:rsid w:val="00BA5942"/>
    <w:rsid w:val="00BB0285"/>
    <w:rsid w:val="00BB170D"/>
    <w:rsid w:val="00BB3E13"/>
    <w:rsid w:val="00BB56A7"/>
    <w:rsid w:val="00BB6933"/>
    <w:rsid w:val="00BB7E5E"/>
    <w:rsid w:val="00BD0BF9"/>
    <w:rsid w:val="00C13DEE"/>
    <w:rsid w:val="00C23CB6"/>
    <w:rsid w:val="00C320FC"/>
    <w:rsid w:val="00C33EE9"/>
    <w:rsid w:val="00C34488"/>
    <w:rsid w:val="00C37104"/>
    <w:rsid w:val="00C441E2"/>
    <w:rsid w:val="00C46B47"/>
    <w:rsid w:val="00C509A8"/>
    <w:rsid w:val="00C53634"/>
    <w:rsid w:val="00C71626"/>
    <w:rsid w:val="00C731AC"/>
    <w:rsid w:val="00C73DF7"/>
    <w:rsid w:val="00C7572B"/>
    <w:rsid w:val="00C771C4"/>
    <w:rsid w:val="00C80D33"/>
    <w:rsid w:val="00C817C2"/>
    <w:rsid w:val="00C9110A"/>
    <w:rsid w:val="00CA0AFC"/>
    <w:rsid w:val="00CB1EB6"/>
    <w:rsid w:val="00CB21A7"/>
    <w:rsid w:val="00CB76B9"/>
    <w:rsid w:val="00CC319F"/>
    <w:rsid w:val="00CC65F5"/>
    <w:rsid w:val="00CE1216"/>
    <w:rsid w:val="00CE4709"/>
    <w:rsid w:val="00D038F8"/>
    <w:rsid w:val="00D13211"/>
    <w:rsid w:val="00D14315"/>
    <w:rsid w:val="00D57693"/>
    <w:rsid w:val="00D642A7"/>
    <w:rsid w:val="00D9345B"/>
    <w:rsid w:val="00DB045B"/>
    <w:rsid w:val="00DB06A0"/>
    <w:rsid w:val="00DB2CEB"/>
    <w:rsid w:val="00DC2A1A"/>
    <w:rsid w:val="00DC48F0"/>
    <w:rsid w:val="00DC535D"/>
    <w:rsid w:val="00DC6825"/>
    <w:rsid w:val="00DD6E63"/>
    <w:rsid w:val="00DE2B1D"/>
    <w:rsid w:val="00DE3881"/>
    <w:rsid w:val="00DF002B"/>
    <w:rsid w:val="00DF4FD9"/>
    <w:rsid w:val="00DF60C6"/>
    <w:rsid w:val="00E12BB2"/>
    <w:rsid w:val="00E16955"/>
    <w:rsid w:val="00E17652"/>
    <w:rsid w:val="00E21F2F"/>
    <w:rsid w:val="00E308C5"/>
    <w:rsid w:val="00E376CF"/>
    <w:rsid w:val="00E457E9"/>
    <w:rsid w:val="00E53973"/>
    <w:rsid w:val="00E5684F"/>
    <w:rsid w:val="00E63934"/>
    <w:rsid w:val="00E67680"/>
    <w:rsid w:val="00E74336"/>
    <w:rsid w:val="00E77BB1"/>
    <w:rsid w:val="00E854C3"/>
    <w:rsid w:val="00E946B0"/>
    <w:rsid w:val="00E94C07"/>
    <w:rsid w:val="00EA2D6F"/>
    <w:rsid w:val="00EB495E"/>
    <w:rsid w:val="00EB55DE"/>
    <w:rsid w:val="00ED0ABF"/>
    <w:rsid w:val="00ED2F09"/>
    <w:rsid w:val="00EE488B"/>
    <w:rsid w:val="00EF478D"/>
    <w:rsid w:val="00F007BA"/>
    <w:rsid w:val="00F030BD"/>
    <w:rsid w:val="00F06FF5"/>
    <w:rsid w:val="00F12728"/>
    <w:rsid w:val="00F13707"/>
    <w:rsid w:val="00F17980"/>
    <w:rsid w:val="00F208DA"/>
    <w:rsid w:val="00F2151F"/>
    <w:rsid w:val="00F25621"/>
    <w:rsid w:val="00F3543B"/>
    <w:rsid w:val="00F36773"/>
    <w:rsid w:val="00F43ADD"/>
    <w:rsid w:val="00F666D1"/>
    <w:rsid w:val="00F66CA9"/>
    <w:rsid w:val="00F709AF"/>
    <w:rsid w:val="00F84399"/>
    <w:rsid w:val="00F93F0F"/>
    <w:rsid w:val="00F93FCD"/>
    <w:rsid w:val="00FA5820"/>
    <w:rsid w:val="00FB0A6C"/>
    <w:rsid w:val="00FB1700"/>
    <w:rsid w:val="00FB1F6C"/>
    <w:rsid w:val="00FB2FF2"/>
    <w:rsid w:val="00FB35CC"/>
    <w:rsid w:val="00FB400B"/>
    <w:rsid w:val="00FB7529"/>
    <w:rsid w:val="00FC5B0B"/>
    <w:rsid w:val="00FC5FC3"/>
    <w:rsid w:val="00FD0DC6"/>
    <w:rsid w:val="00FD6F67"/>
    <w:rsid w:val="00FE2F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BDB84"/>
  <w14:defaultImageDpi w14:val="0"/>
  <w15:docId w15:val="{0BF25B5B-34D1-4DB0-969C-2B38CDAC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605"/>
    <w:rPr>
      <w:rFonts w:ascii="Times New Roman" w:hAnsi="Times New Roman" w:cs="Times New Roman"/>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872E7F"/>
    <w:rPr>
      <w:rFonts w:cs="Times New Roman"/>
    </w:rPr>
  </w:style>
  <w:style w:type="paragraph" w:styleId="a3">
    <w:name w:val="List Paragraph"/>
    <w:basedOn w:val="a"/>
    <w:uiPriority w:val="34"/>
    <w:qFormat/>
    <w:rsid w:val="00200C9F"/>
    <w:pPr>
      <w:ind w:left="720"/>
      <w:contextualSpacing/>
    </w:pPr>
  </w:style>
  <w:style w:type="paragraph" w:styleId="HTML">
    <w:name w:val="HTML Preformatted"/>
    <w:basedOn w:val="a"/>
    <w:link w:val="HTML0"/>
    <w:uiPriority w:val="99"/>
    <w:unhideWhenUsed/>
    <w:rsid w:val="000F6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eastAsia="MS Mincho" w:hAnsi="Courier New"/>
      <w:sz w:val="20"/>
      <w:szCs w:val="20"/>
      <w:lang w:val="en-US"/>
    </w:rPr>
  </w:style>
  <w:style w:type="table" w:styleId="a4">
    <w:name w:val="Table Grid"/>
    <w:basedOn w:val="a1"/>
    <w:uiPriority w:val="39"/>
    <w:rsid w:val="000F6099"/>
    <w:pPr>
      <w:ind w:firstLine="709"/>
    </w:pPr>
    <w:rPr>
      <w:rFonts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ий HTML Знак"/>
    <w:basedOn w:val="a0"/>
    <w:link w:val="HTML"/>
    <w:uiPriority w:val="99"/>
    <w:locked/>
    <w:rsid w:val="000F6099"/>
    <w:rPr>
      <w:rFonts w:ascii="Courier New" w:eastAsia="MS Mincho" w:hAnsi="Courier New" w:cs="Times New Roman"/>
      <w:sz w:val="20"/>
      <w:lang w:val="en-US" w:eastAsia="ru-RU"/>
    </w:rPr>
  </w:style>
  <w:style w:type="paragraph" w:customStyle="1" w:styleId="rvps2">
    <w:name w:val="rvps2"/>
    <w:basedOn w:val="a"/>
    <w:rsid w:val="005770EB"/>
    <w:pPr>
      <w:spacing w:before="100" w:beforeAutospacing="1" w:after="100" w:afterAutospacing="1"/>
    </w:pPr>
    <w:rPr>
      <w:lang w:eastAsia="uk-UA"/>
    </w:rPr>
  </w:style>
  <w:style w:type="character" w:customStyle="1" w:styleId="rvts46">
    <w:name w:val="rvts46"/>
    <w:basedOn w:val="a0"/>
    <w:rsid w:val="005770EB"/>
    <w:rPr>
      <w:rFonts w:cs="Times New Roman"/>
    </w:rPr>
  </w:style>
  <w:style w:type="character" w:customStyle="1" w:styleId="apple-converted-space">
    <w:name w:val="apple-converted-space"/>
    <w:basedOn w:val="a0"/>
    <w:rsid w:val="005770EB"/>
    <w:rPr>
      <w:rFonts w:cs="Times New Roman"/>
    </w:rPr>
  </w:style>
  <w:style w:type="character" w:styleId="a5">
    <w:name w:val="Hyperlink"/>
    <w:basedOn w:val="a0"/>
    <w:uiPriority w:val="99"/>
    <w:unhideWhenUsed/>
    <w:rsid w:val="005770EB"/>
    <w:rPr>
      <w:rFonts w:cs="Times New Roman"/>
      <w:color w:val="0000FF"/>
      <w:u w:val="single"/>
    </w:rPr>
  </w:style>
  <w:style w:type="character" w:customStyle="1" w:styleId="rvts11">
    <w:name w:val="rvts11"/>
    <w:basedOn w:val="a0"/>
    <w:rsid w:val="005770EB"/>
    <w:rPr>
      <w:rFonts w:cs="Times New Roman"/>
    </w:rPr>
  </w:style>
  <w:style w:type="paragraph" w:styleId="a6">
    <w:name w:val="header"/>
    <w:basedOn w:val="a"/>
    <w:link w:val="a7"/>
    <w:uiPriority w:val="99"/>
    <w:unhideWhenUsed/>
    <w:rsid w:val="00CA0AFC"/>
    <w:pPr>
      <w:tabs>
        <w:tab w:val="center" w:pos="4819"/>
        <w:tab w:val="right" w:pos="9639"/>
      </w:tabs>
    </w:pPr>
  </w:style>
  <w:style w:type="paragraph" w:styleId="a8">
    <w:name w:val="footer"/>
    <w:basedOn w:val="a"/>
    <w:link w:val="a9"/>
    <w:uiPriority w:val="99"/>
    <w:unhideWhenUsed/>
    <w:rsid w:val="00CA0AFC"/>
    <w:pPr>
      <w:tabs>
        <w:tab w:val="center" w:pos="4819"/>
        <w:tab w:val="right" w:pos="9639"/>
      </w:tabs>
    </w:pPr>
  </w:style>
  <w:style w:type="character" w:customStyle="1" w:styleId="a7">
    <w:name w:val="Верхній колонтитул Знак"/>
    <w:basedOn w:val="a0"/>
    <w:link w:val="a6"/>
    <w:uiPriority w:val="99"/>
    <w:locked/>
    <w:rsid w:val="00CA0AFC"/>
    <w:rPr>
      <w:rFonts w:ascii="Times New Roman" w:hAnsi="Times New Roman" w:cs="Times New Roman"/>
      <w:sz w:val="24"/>
      <w:lang w:val="x-none" w:eastAsia="ru-RU"/>
    </w:rPr>
  </w:style>
  <w:style w:type="paragraph" w:styleId="aa">
    <w:name w:val="Balloon Text"/>
    <w:basedOn w:val="a"/>
    <w:link w:val="ab"/>
    <w:uiPriority w:val="99"/>
    <w:semiHidden/>
    <w:unhideWhenUsed/>
    <w:rsid w:val="00606412"/>
    <w:rPr>
      <w:rFonts w:ascii="Segoe UI" w:hAnsi="Segoe UI" w:cs="Segoe UI"/>
      <w:sz w:val="18"/>
      <w:szCs w:val="18"/>
    </w:rPr>
  </w:style>
  <w:style w:type="character" w:customStyle="1" w:styleId="a9">
    <w:name w:val="Нижній колонтитул Знак"/>
    <w:basedOn w:val="a0"/>
    <w:link w:val="a8"/>
    <w:uiPriority w:val="99"/>
    <w:locked/>
    <w:rsid w:val="00CA0AFC"/>
    <w:rPr>
      <w:rFonts w:ascii="Times New Roman" w:hAnsi="Times New Roman" w:cs="Times New Roman"/>
      <w:sz w:val="24"/>
      <w:lang w:val="x-none" w:eastAsia="ru-RU"/>
    </w:rPr>
  </w:style>
  <w:style w:type="character" w:customStyle="1" w:styleId="ab">
    <w:name w:val="Текст у виносці Знак"/>
    <w:basedOn w:val="a0"/>
    <w:link w:val="aa"/>
    <w:uiPriority w:val="99"/>
    <w:semiHidden/>
    <w:locked/>
    <w:rsid w:val="00606412"/>
    <w:rPr>
      <w:rFonts w:ascii="Segoe UI" w:hAnsi="Segoe UI" w:cs="Times New Roman"/>
      <w:sz w:val="18"/>
      <w:lang w:val="x-none" w:eastAsia="ru-RU"/>
    </w:rPr>
  </w:style>
  <w:style w:type="paragraph" w:customStyle="1" w:styleId="rvps6">
    <w:name w:val="rvps6"/>
    <w:basedOn w:val="a"/>
    <w:rsid w:val="008B5B95"/>
    <w:pPr>
      <w:spacing w:before="100" w:beforeAutospacing="1" w:after="100" w:afterAutospacing="1"/>
    </w:pPr>
  </w:style>
  <w:style w:type="character" w:customStyle="1" w:styleId="rvts23">
    <w:name w:val="rvts23"/>
    <w:basedOn w:val="a0"/>
    <w:rsid w:val="008B5B95"/>
  </w:style>
  <w:style w:type="paragraph" w:customStyle="1" w:styleId="rvps7">
    <w:name w:val="rvps7"/>
    <w:basedOn w:val="a"/>
    <w:rsid w:val="008B5B95"/>
    <w:pPr>
      <w:spacing w:before="100" w:beforeAutospacing="1" w:after="100" w:afterAutospacing="1"/>
    </w:pPr>
  </w:style>
  <w:style w:type="character" w:customStyle="1" w:styleId="rvts44">
    <w:name w:val="rvts44"/>
    <w:basedOn w:val="a0"/>
    <w:rsid w:val="008B5B95"/>
  </w:style>
  <w:style w:type="character" w:styleId="ac">
    <w:name w:val="Unresolved Mention"/>
    <w:basedOn w:val="a0"/>
    <w:uiPriority w:val="99"/>
    <w:semiHidden/>
    <w:unhideWhenUsed/>
    <w:rsid w:val="00DE3881"/>
    <w:rPr>
      <w:color w:val="605E5C"/>
      <w:shd w:val="clear" w:color="auto" w:fill="E1DFDD"/>
    </w:rPr>
  </w:style>
  <w:style w:type="character" w:customStyle="1" w:styleId="rvts9">
    <w:name w:val="rvts9"/>
    <w:basedOn w:val="a0"/>
    <w:rsid w:val="009C08C9"/>
  </w:style>
  <w:style w:type="paragraph" w:styleId="ad">
    <w:name w:val="Plain Text"/>
    <w:basedOn w:val="a"/>
    <w:link w:val="ae"/>
    <w:uiPriority w:val="99"/>
    <w:unhideWhenUsed/>
    <w:rsid w:val="004D0F19"/>
    <w:rPr>
      <w:rFonts w:ascii="Consolas" w:eastAsiaTheme="minorHAnsi" w:hAnsi="Consolas" w:cstheme="minorHAnsi"/>
      <w:sz w:val="21"/>
      <w:szCs w:val="21"/>
      <w:lang w:eastAsia="en-US"/>
    </w:rPr>
  </w:style>
  <w:style w:type="character" w:customStyle="1" w:styleId="ae">
    <w:name w:val="Текст Знак"/>
    <w:basedOn w:val="a0"/>
    <w:link w:val="ad"/>
    <w:uiPriority w:val="99"/>
    <w:rsid w:val="004D0F19"/>
    <w:rPr>
      <w:rFonts w:ascii="Consolas" w:eastAsiaTheme="minorHAnsi" w:hAnsi="Consolas" w:cstheme="minorHAnsi"/>
      <w:sz w:val="21"/>
      <w:szCs w:val="21"/>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75">
      <w:bodyDiv w:val="1"/>
      <w:marLeft w:val="0"/>
      <w:marRight w:val="0"/>
      <w:marTop w:val="0"/>
      <w:marBottom w:val="0"/>
      <w:divBdr>
        <w:top w:val="none" w:sz="0" w:space="0" w:color="auto"/>
        <w:left w:val="none" w:sz="0" w:space="0" w:color="auto"/>
        <w:bottom w:val="none" w:sz="0" w:space="0" w:color="auto"/>
        <w:right w:val="none" w:sz="0" w:space="0" w:color="auto"/>
      </w:divBdr>
    </w:div>
    <w:div w:id="16008399">
      <w:bodyDiv w:val="1"/>
      <w:marLeft w:val="0"/>
      <w:marRight w:val="0"/>
      <w:marTop w:val="0"/>
      <w:marBottom w:val="0"/>
      <w:divBdr>
        <w:top w:val="none" w:sz="0" w:space="0" w:color="auto"/>
        <w:left w:val="none" w:sz="0" w:space="0" w:color="auto"/>
        <w:bottom w:val="none" w:sz="0" w:space="0" w:color="auto"/>
        <w:right w:val="none" w:sz="0" w:space="0" w:color="auto"/>
      </w:divBdr>
    </w:div>
    <w:div w:id="110707568">
      <w:bodyDiv w:val="1"/>
      <w:marLeft w:val="0"/>
      <w:marRight w:val="0"/>
      <w:marTop w:val="0"/>
      <w:marBottom w:val="0"/>
      <w:divBdr>
        <w:top w:val="none" w:sz="0" w:space="0" w:color="auto"/>
        <w:left w:val="none" w:sz="0" w:space="0" w:color="auto"/>
        <w:bottom w:val="none" w:sz="0" w:space="0" w:color="auto"/>
        <w:right w:val="none" w:sz="0" w:space="0" w:color="auto"/>
      </w:divBdr>
    </w:div>
    <w:div w:id="116532990">
      <w:bodyDiv w:val="1"/>
      <w:marLeft w:val="0"/>
      <w:marRight w:val="0"/>
      <w:marTop w:val="0"/>
      <w:marBottom w:val="0"/>
      <w:divBdr>
        <w:top w:val="none" w:sz="0" w:space="0" w:color="auto"/>
        <w:left w:val="none" w:sz="0" w:space="0" w:color="auto"/>
        <w:bottom w:val="none" w:sz="0" w:space="0" w:color="auto"/>
        <w:right w:val="none" w:sz="0" w:space="0" w:color="auto"/>
      </w:divBdr>
    </w:div>
    <w:div w:id="150633995">
      <w:bodyDiv w:val="1"/>
      <w:marLeft w:val="0"/>
      <w:marRight w:val="0"/>
      <w:marTop w:val="0"/>
      <w:marBottom w:val="0"/>
      <w:divBdr>
        <w:top w:val="none" w:sz="0" w:space="0" w:color="auto"/>
        <w:left w:val="none" w:sz="0" w:space="0" w:color="auto"/>
        <w:bottom w:val="none" w:sz="0" w:space="0" w:color="auto"/>
        <w:right w:val="none" w:sz="0" w:space="0" w:color="auto"/>
      </w:divBdr>
    </w:div>
    <w:div w:id="205486158">
      <w:bodyDiv w:val="1"/>
      <w:marLeft w:val="0"/>
      <w:marRight w:val="0"/>
      <w:marTop w:val="0"/>
      <w:marBottom w:val="0"/>
      <w:divBdr>
        <w:top w:val="none" w:sz="0" w:space="0" w:color="auto"/>
        <w:left w:val="none" w:sz="0" w:space="0" w:color="auto"/>
        <w:bottom w:val="none" w:sz="0" w:space="0" w:color="auto"/>
        <w:right w:val="none" w:sz="0" w:space="0" w:color="auto"/>
      </w:divBdr>
    </w:div>
    <w:div w:id="208080037">
      <w:bodyDiv w:val="1"/>
      <w:marLeft w:val="0"/>
      <w:marRight w:val="0"/>
      <w:marTop w:val="0"/>
      <w:marBottom w:val="0"/>
      <w:divBdr>
        <w:top w:val="none" w:sz="0" w:space="0" w:color="auto"/>
        <w:left w:val="none" w:sz="0" w:space="0" w:color="auto"/>
        <w:bottom w:val="none" w:sz="0" w:space="0" w:color="auto"/>
        <w:right w:val="none" w:sz="0" w:space="0" w:color="auto"/>
      </w:divBdr>
    </w:div>
    <w:div w:id="318460616">
      <w:bodyDiv w:val="1"/>
      <w:marLeft w:val="0"/>
      <w:marRight w:val="0"/>
      <w:marTop w:val="0"/>
      <w:marBottom w:val="0"/>
      <w:divBdr>
        <w:top w:val="none" w:sz="0" w:space="0" w:color="auto"/>
        <w:left w:val="none" w:sz="0" w:space="0" w:color="auto"/>
        <w:bottom w:val="none" w:sz="0" w:space="0" w:color="auto"/>
        <w:right w:val="none" w:sz="0" w:space="0" w:color="auto"/>
      </w:divBdr>
    </w:div>
    <w:div w:id="323822285">
      <w:bodyDiv w:val="1"/>
      <w:marLeft w:val="0"/>
      <w:marRight w:val="0"/>
      <w:marTop w:val="0"/>
      <w:marBottom w:val="0"/>
      <w:divBdr>
        <w:top w:val="none" w:sz="0" w:space="0" w:color="auto"/>
        <w:left w:val="none" w:sz="0" w:space="0" w:color="auto"/>
        <w:bottom w:val="none" w:sz="0" w:space="0" w:color="auto"/>
        <w:right w:val="none" w:sz="0" w:space="0" w:color="auto"/>
      </w:divBdr>
    </w:div>
    <w:div w:id="368602535">
      <w:bodyDiv w:val="1"/>
      <w:marLeft w:val="0"/>
      <w:marRight w:val="0"/>
      <w:marTop w:val="0"/>
      <w:marBottom w:val="0"/>
      <w:divBdr>
        <w:top w:val="none" w:sz="0" w:space="0" w:color="auto"/>
        <w:left w:val="none" w:sz="0" w:space="0" w:color="auto"/>
        <w:bottom w:val="none" w:sz="0" w:space="0" w:color="auto"/>
        <w:right w:val="none" w:sz="0" w:space="0" w:color="auto"/>
      </w:divBdr>
    </w:div>
    <w:div w:id="373775633">
      <w:bodyDiv w:val="1"/>
      <w:marLeft w:val="0"/>
      <w:marRight w:val="0"/>
      <w:marTop w:val="0"/>
      <w:marBottom w:val="0"/>
      <w:divBdr>
        <w:top w:val="none" w:sz="0" w:space="0" w:color="auto"/>
        <w:left w:val="none" w:sz="0" w:space="0" w:color="auto"/>
        <w:bottom w:val="none" w:sz="0" w:space="0" w:color="auto"/>
        <w:right w:val="none" w:sz="0" w:space="0" w:color="auto"/>
      </w:divBdr>
    </w:div>
    <w:div w:id="377584240">
      <w:bodyDiv w:val="1"/>
      <w:marLeft w:val="0"/>
      <w:marRight w:val="0"/>
      <w:marTop w:val="0"/>
      <w:marBottom w:val="0"/>
      <w:divBdr>
        <w:top w:val="none" w:sz="0" w:space="0" w:color="auto"/>
        <w:left w:val="none" w:sz="0" w:space="0" w:color="auto"/>
        <w:bottom w:val="none" w:sz="0" w:space="0" w:color="auto"/>
        <w:right w:val="none" w:sz="0" w:space="0" w:color="auto"/>
      </w:divBdr>
    </w:div>
    <w:div w:id="459615113">
      <w:bodyDiv w:val="1"/>
      <w:marLeft w:val="0"/>
      <w:marRight w:val="0"/>
      <w:marTop w:val="0"/>
      <w:marBottom w:val="0"/>
      <w:divBdr>
        <w:top w:val="none" w:sz="0" w:space="0" w:color="auto"/>
        <w:left w:val="none" w:sz="0" w:space="0" w:color="auto"/>
        <w:bottom w:val="none" w:sz="0" w:space="0" w:color="auto"/>
        <w:right w:val="none" w:sz="0" w:space="0" w:color="auto"/>
      </w:divBdr>
    </w:div>
    <w:div w:id="507066514">
      <w:bodyDiv w:val="1"/>
      <w:marLeft w:val="0"/>
      <w:marRight w:val="0"/>
      <w:marTop w:val="0"/>
      <w:marBottom w:val="0"/>
      <w:divBdr>
        <w:top w:val="none" w:sz="0" w:space="0" w:color="auto"/>
        <w:left w:val="none" w:sz="0" w:space="0" w:color="auto"/>
        <w:bottom w:val="none" w:sz="0" w:space="0" w:color="auto"/>
        <w:right w:val="none" w:sz="0" w:space="0" w:color="auto"/>
      </w:divBdr>
    </w:div>
    <w:div w:id="552234906">
      <w:bodyDiv w:val="1"/>
      <w:marLeft w:val="0"/>
      <w:marRight w:val="0"/>
      <w:marTop w:val="0"/>
      <w:marBottom w:val="0"/>
      <w:divBdr>
        <w:top w:val="none" w:sz="0" w:space="0" w:color="auto"/>
        <w:left w:val="none" w:sz="0" w:space="0" w:color="auto"/>
        <w:bottom w:val="none" w:sz="0" w:space="0" w:color="auto"/>
        <w:right w:val="none" w:sz="0" w:space="0" w:color="auto"/>
      </w:divBdr>
    </w:div>
    <w:div w:id="619383846">
      <w:bodyDiv w:val="1"/>
      <w:marLeft w:val="0"/>
      <w:marRight w:val="0"/>
      <w:marTop w:val="0"/>
      <w:marBottom w:val="0"/>
      <w:divBdr>
        <w:top w:val="none" w:sz="0" w:space="0" w:color="auto"/>
        <w:left w:val="none" w:sz="0" w:space="0" w:color="auto"/>
        <w:bottom w:val="none" w:sz="0" w:space="0" w:color="auto"/>
        <w:right w:val="none" w:sz="0" w:space="0" w:color="auto"/>
      </w:divBdr>
    </w:div>
    <w:div w:id="707531093">
      <w:bodyDiv w:val="1"/>
      <w:marLeft w:val="0"/>
      <w:marRight w:val="0"/>
      <w:marTop w:val="0"/>
      <w:marBottom w:val="0"/>
      <w:divBdr>
        <w:top w:val="none" w:sz="0" w:space="0" w:color="auto"/>
        <w:left w:val="none" w:sz="0" w:space="0" w:color="auto"/>
        <w:bottom w:val="none" w:sz="0" w:space="0" w:color="auto"/>
        <w:right w:val="none" w:sz="0" w:space="0" w:color="auto"/>
      </w:divBdr>
    </w:div>
    <w:div w:id="731348765">
      <w:bodyDiv w:val="1"/>
      <w:marLeft w:val="0"/>
      <w:marRight w:val="0"/>
      <w:marTop w:val="0"/>
      <w:marBottom w:val="0"/>
      <w:divBdr>
        <w:top w:val="none" w:sz="0" w:space="0" w:color="auto"/>
        <w:left w:val="none" w:sz="0" w:space="0" w:color="auto"/>
        <w:bottom w:val="none" w:sz="0" w:space="0" w:color="auto"/>
        <w:right w:val="none" w:sz="0" w:space="0" w:color="auto"/>
      </w:divBdr>
    </w:div>
    <w:div w:id="801924214">
      <w:bodyDiv w:val="1"/>
      <w:marLeft w:val="0"/>
      <w:marRight w:val="0"/>
      <w:marTop w:val="0"/>
      <w:marBottom w:val="0"/>
      <w:divBdr>
        <w:top w:val="none" w:sz="0" w:space="0" w:color="auto"/>
        <w:left w:val="none" w:sz="0" w:space="0" w:color="auto"/>
        <w:bottom w:val="none" w:sz="0" w:space="0" w:color="auto"/>
        <w:right w:val="none" w:sz="0" w:space="0" w:color="auto"/>
      </w:divBdr>
    </w:div>
    <w:div w:id="841042765">
      <w:bodyDiv w:val="1"/>
      <w:marLeft w:val="0"/>
      <w:marRight w:val="0"/>
      <w:marTop w:val="0"/>
      <w:marBottom w:val="0"/>
      <w:divBdr>
        <w:top w:val="none" w:sz="0" w:space="0" w:color="auto"/>
        <w:left w:val="none" w:sz="0" w:space="0" w:color="auto"/>
        <w:bottom w:val="none" w:sz="0" w:space="0" w:color="auto"/>
        <w:right w:val="none" w:sz="0" w:space="0" w:color="auto"/>
      </w:divBdr>
    </w:div>
    <w:div w:id="850097374">
      <w:bodyDiv w:val="1"/>
      <w:marLeft w:val="0"/>
      <w:marRight w:val="0"/>
      <w:marTop w:val="0"/>
      <w:marBottom w:val="0"/>
      <w:divBdr>
        <w:top w:val="none" w:sz="0" w:space="0" w:color="auto"/>
        <w:left w:val="none" w:sz="0" w:space="0" w:color="auto"/>
        <w:bottom w:val="none" w:sz="0" w:space="0" w:color="auto"/>
        <w:right w:val="none" w:sz="0" w:space="0" w:color="auto"/>
      </w:divBdr>
    </w:div>
    <w:div w:id="858809526">
      <w:bodyDiv w:val="1"/>
      <w:marLeft w:val="0"/>
      <w:marRight w:val="0"/>
      <w:marTop w:val="0"/>
      <w:marBottom w:val="0"/>
      <w:divBdr>
        <w:top w:val="none" w:sz="0" w:space="0" w:color="auto"/>
        <w:left w:val="none" w:sz="0" w:space="0" w:color="auto"/>
        <w:bottom w:val="none" w:sz="0" w:space="0" w:color="auto"/>
        <w:right w:val="none" w:sz="0" w:space="0" w:color="auto"/>
      </w:divBdr>
    </w:div>
    <w:div w:id="872885821">
      <w:bodyDiv w:val="1"/>
      <w:marLeft w:val="0"/>
      <w:marRight w:val="0"/>
      <w:marTop w:val="0"/>
      <w:marBottom w:val="0"/>
      <w:divBdr>
        <w:top w:val="none" w:sz="0" w:space="0" w:color="auto"/>
        <w:left w:val="none" w:sz="0" w:space="0" w:color="auto"/>
        <w:bottom w:val="none" w:sz="0" w:space="0" w:color="auto"/>
        <w:right w:val="none" w:sz="0" w:space="0" w:color="auto"/>
      </w:divBdr>
    </w:div>
    <w:div w:id="1074740789">
      <w:bodyDiv w:val="1"/>
      <w:marLeft w:val="0"/>
      <w:marRight w:val="0"/>
      <w:marTop w:val="0"/>
      <w:marBottom w:val="0"/>
      <w:divBdr>
        <w:top w:val="none" w:sz="0" w:space="0" w:color="auto"/>
        <w:left w:val="none" w:sz="0" w:space="0" w:color="auto"/>
        <w:bottom w:val="none" w:sz="0" w:space="0" w:color="auto"/>
        <w:right w:val="none" w:sz="0" w:space="0" w:color="auto"/>
      </w:divBdr>
    </w:div>
    <w:div w:id="1079600329">
      <w:bodyDiv w:val="1"/>
      <w:marLeft w:val="0"/>
      <w:marRight w:val="0"/>
      <w:marTop w:val="0"/>
      <w:marBottom w:val="0"/>
      <w:divBdr>
        <w:top w:val="none" w:sz="0" w:space="0" w:color="auto"/>
        <w:left w:val="none" w:sz="0" w:space="0" w:color="auto"/>
        <w:bottom w:val="none" w:sz="0" w:space="0" w:color="auto"/>
        <w:right w:val="none" w:sz="0" w:space="0" w:color="auto"/>
      </w:divBdr>
    </w:div>
    <w:div w:id="1085759292">
      <w:bodyDiv w:val="1"/>
      <w:marLeft w:val="0"/>
      <w:marRight w:val="0"/>
      <w:marTop w:val="0"/>
      <w:marBottom w:val="0"/>
      <w:divBdr>
        <w:top w:val="none" w:sz="0" w:space="0" w:color="auto"/>
        <w:left w:val="none" w:sz="0" w:space="0" w:color="auto"/>
        <w:bottom w:val="none" w:sz="0" w:space="0" w:color="auto"/>
        <w:right w:val="none" w:sz="0" w:space="0" w:color="auto"/>
      </w:divBdr>
    </w:div>
    <w:div w:id="1100447349">
      <w:bodyDiv w:val="1"/>
      <w:marLeft w:val="0"/>
      <w:marRight w:val="0"/>
      <w:marTop w:val="0"/>
      <w:marBottom w:val="0"/>
      <w:divBdr>
        <w:top w:val="none" w:sz="0" w:space="0" w:color="auto"/>
        <w:left w:val="none" w:sz="0" w:space="0" w:color="auto"/>
        <w:bottom w:val="none" w:sz="0" w:space="0" w:color="auto"/>
        <w:right w:val="none" w:sz="0" w:space="0" w:color="auto"/>
      </w:divBdr>
    </w:div>
    <w:div w:id="1117455613">
      <w:bodyDiv w:val="1"/>
      <w:marLeft w:val="0"/>
      <w:marRight w:val="0"/>
      <w:marTop w:val="0"/>
      <w:marBottom w:val="0"/>
      <w:divBdr>
        <w:top w:val="none" w:sz="0" w:space="0" w:color="auto"/>
        <w:left w:val="none" w:sz="0" w:space="0" w:color="auto"/>
        <w:bottom w:val="none" w:sz="0" w:space="0" w:color="auto"/>
        <w:right w:val="none" w:sz="0" w:space="0" w:color="auto"/>
      </w:divBdr>
    </w:div>
    <w:div w:id="1127890709">
      <w:bodyDiv w:val="1"/>
      <w:marLeft w:val="0"/>
      <w:marRight w:val="0"/>
      <w:marTop w:val="0"/>
      <w:marBottom w:val="0"/>
      <w:divBdr>
        <w:top w:val="none" w:sz="0" w:space="0" w:color="auto"/>
        <w:left w:val="none" w:sz="0" w:space="0" w:color="auto"/>
        <w:bottom w:val="none" w:sz="0" w:space="0" w:color="auto"/>
        <w:right w:val="none" w:sz="0" w:space="0" w:color="auto"/>
      </w:divBdr>
    </w:div>
    <w:div w:id="1129592420">
      <w:bodyDiv w:val="1"/>
      <w:marLeft w:val="0"/>
      <w:marRight w:val="0"/>
      <w:marTop w:val="0"/>
      <w:marBottom w:val="0"/>
      <w:divBdr>
        <w:top w:val="none" w:sz="0" w:space="0" w:color="auto"/>
        <w:left w:val="none" w:sz="0" w:space="0" w:color="auto"/>
        <w:bottom w:val="none" w:sz="0" w:space="0" w:color="auto"/>
        <w:right w:val="none" w:sz="0" w:space="0" w:color="auto"/>
      </w:divBdr>
    </w:div>
    <w:div w:id="1197815084">
      <w:bodyDiv w:val="1"/>
      <w:marLeft w:val="0"/>
      <w:marRight w:val="0"/>
      <w:marTop w:val="0"/>
      <w:marBottom w:val="0"/>
      <w:divBdr>
        <w:top w:val="none" w:sz="0" w:space="0" w:color="auto"/>
        <w:left w:val="none" w:sz="0" w:space="0" w:color="auto"/>
        <w:bottom w:val="none" w:sz="0" w:space="0" w:color="auto"/>
        <w:right w:val="none" w:sz="0" w:space="0" w:color="auto"/>
      </w:divBdr>
    </w:div>
    <w:div w:id="1205407532">
      <w:bodyDiv w:val="1"/>
      <w:marLeft w:val="0"/>
      <w:marRight w:val="0"/>
      <w:marTop w:val="0"/>
      <w:marBottom w:val="0"/>
      <w:divBdr>
        <w:top w:val="none" w:sz="0" w:space="0" w:color="auto"/>
        <w:left w:val="none" w:sz="0" w:space="0" w:color="auto"/>
        <w:bottom w:val="none" w:sz="0" w:space="0" w:color="auto"/>
        <w:right w:val="none" w:sz="0" w:space="0" w:color="auto"/>
      </w:divBdr>
    </w:div>
    <w:div w:id="1230774555">
      <w:bodyDiv w:val="1"/>
      <w:marLeft w:val="0"/>
      <w:marRight w:val="0"/>
      <w:marTop w:val="0"/>
      <w:marBottom w:val="0"/>
      <w:divBdr>
        <w:top w:val="none" w:sz="0" w:space="0" w:color="auto"/>
        <w:left w:val="none" w:sz="0" w:space="0" w:color="auto"/>
        <w:bottom w:val="none" w:sz="0" w:space="0" w:color="auto"/>
        <w:right w:val="none" w:sz="0" w:space="0" w:color="auto"/>
      </w:divBdr>
    </w:div>
    <w:div w:id="1234201876">
      <w:bodyDiv w:val="1"/>
      <w:marLeft w:val="0"/>
      <w:marRight w:val="0"/>
      <w:marTop w:val="0"/>
      <w:marBottom w:val="0"/>
      <w:divBdr>
        <w:top w:val="none" w:sz="0" w:space="0" w:color="auto"/>
        <w:left w:val="none" w:sz="0" w:space="0" w:color="auto"/>
        <w:bottom w:val="none" w:sz="0" w:space="0" w:color="auto"/>
        <w:right w:val="none" w:sz="0" w:space="0" w:color="auto"/>
      </w:divBdr>
    </w:div>
    <w:div w:id="1234849266">
      <w:marLeft w:val="0"/>
      <w:marRight w:val="0"/>
      <w:marTop w:val="0"/>
      <w:marBottom w:val="0"/>
      <w:divBdr>
        <w:top w:val="none" w:sz="0" w:space="0" w:color="auto"/>
        <w:left w:val="none" w:sz="0" w:space="0" w:color="auto"/>
        <w:bottom w:val="none" w:sz="0" w:space="0" w:color="auto"/>
        <w:right w:val="none" w:sz="0" w:space="0" w:color="auto"/>
      </w:divBdr>
    </w:div>
    <w:div w:id="1234849267">
      <w:marLeft w:val="0"/>
      <w:marRight w:val="0"/>
      <w:marTop w:val="0"/>
      <w:marBottom w:val="0"/>
      <w:divBdr>
        <w:top w:val="none" w:sz="0" w:space="0" w:color="auto"/>
        <w:left w:val="none" w:sz="0" w:space="0" w:color="auto"/>
        <w:bottom w:val="none" w:sz="0" w:space="0" w:color="auto"/>
        <w:right w:val="none" w:sz="0" w:space="0" w:color="auto"/>
      </w:divBdr>
    </w:div>
    <w:div w:id="1234849268">
      <w:marLeft w:val="0"/>
      <w:marRight w:val="0"/>
      <w:marTop w:val="0"/>
      <w:marBottom w:val="0"/>
      <w:divBdr>
        <w:top w:val="none" w:sz="0" w:space="0" w:color="auto"/>
        <w:left w:val="none" w:sz="0" w:space="0" w:color="auto"/>
        <w:bottom w:val="none" w:sz="0" w:space="0" w:color="auto"/>
        <w:right w:val="none" w:sz="0" w:space="0" w:color="auto"/>
      </w:divBdr>
    </w:div>
    <w:div w:id="1280335360">
      <w:bodyDiv w:val="1"/>
      <w:marLeft w:val="0"/>
      <w:marRight w:val="0"/>
      <w:marTop w:val="0"/>
      <w:marBottom w:val="0"/>
      <w:divBdr>
        <w:top w:val="none" w:sz="0" w:space="0" w:color="auto"/>
        <w:left w:val="none" w:sz="0" w:space="0" w:color="auto"/>
        <w:bottom w:val="none" w:sz="0" w:space="0" w:color="auto"/>
        <w:right w:val="none" w:sz="0" w:space="0" w:color="auto"/>
      </w:divBdr>
    </w:div>
    <w:div w:id="1314679216">
      <w:bodyDiv w:val="1"/>
      <w:marLeft w:val="0"/>
      <w:marRight w:val="0"/>
      <w:marTop w:val="0"/>
      <w:marBottom w:val="0"/>
      <w:divBdr>
        <w:top w:val="none" w:sz="0" w:space="0" w:color="auto"/>
        <w:left w:val="none" w:sz="0" w:space="0" w:color="auto"/>
        <w:bottom w:val="none" w:sz="0" w:space="0" w:color="auto"/>
        <w:right w:val="none" w:sz="0" w:space="0" w:color="auto"/>
      </w:divBdr>
    </w:div>
    <w:div w:id="1401488741">
      <w:bodyDiv w:val="1"/>
      <w:marLeft w:val="0"/>
      <w:marRight w:val="0"/>
      <w:marTop w:val="0"/>
      <w:marBottom w:val="0"/>
      <w:divBdr>
        <w:top w:val="none" w:sz="0" w:space="0" w:color="auto"/>
        <w:left w:val="none" w:sz="0" w:space="0" w:color="auto"/>
        <w:bottom w:val="none" w:sz="0" w:space="0" w:color="auto"/>
        <w:right w:val="none" w:sz="0" w:space="0" w:color="auto"/>
      </w:divBdr>
    </w:div>
    <w:div w:id="1466772034">
      <w:bodyDiv w:val="1"/>
      <w:marLeft w:val="0"/>
      <w:marRight w:val="0"/>
      <w:marTop w:val="0"/>
      <w:marBottom w:val="0"/>
      <w:divBdr>
        <w:top w:val="none" w:sz="0" w:space="0" w:color="auto"/>
        <w:left w:val="none" w:sz="0" w:space="0" w:color="auto"/>
        <w:bottom w:val="none" w:sz="0" w:space="0" w:color="auto"/>
        <w:right w:val="none" w:sz="0" w:space="0" w:color="auto"/>
      </w:divBdr>
    </w:div>
    <w:div w:id="1477869158">
      <w:bodyDiv w:val="1"/>
      <w:marLeft w:val="0"/>
      <w:marRight w:val="0"/>
      <w:marTop w:val="0"/>
      <w:marBottom w:val="0"/>
      <w:divBdr>
        <w:top w:val="none" w:sz="0" w:space="0" w:color="auto"/>
        <w:left w:val="none" w:sz="0" w:space="0" w:color="auto"/>
        <w:bottom w:val="none" w:sz="0" w:space="0" w:color="auto"/>
        <w:right w:val="none" w:sz="0" w:space="0" w:color="auto"/>
      </w:divBdr>
    </w:div>
    <w:div w:id="1511872451">
      <w:bodyDiv w:val="1"/>
      <w:marLeft w:val="0"/>
      <w:marRight w:val="0"/>
      <w:marTop w:val="0"/>
      <w:marBottom w:val="0"/>
      <w:divBdr>
        <w:top w:val="none" w:sz="0" w:space="0" w:color="auto"/>
        <w:left w:val="none" w:sz="0" w:space="0" w:color="auto"/>
        <w:bottom w:val="none" w:sz="0" w:space="0" w:color="auto"/>
        <w:right w:val="none" w:sz="0" w:space="0" w:color="auto"/>
      </w:divBdr>
    </w:div>
    <w:div w:id="1560937931">
      <w:bodyDiv w:val="1"/>
      <w:marLeft w:val="0"/>
      <w:marRight w:val="0"/>
      <w:marTop w:val="0"/>
      <w:marBottom w:val="0"/>
      <w:divBdr>
        <w:top w:val="none" w:sz="0" w:space="0" w:color="auto"/>
        <w:left w:val="none" w:sz="0" w:space="0" w:color="auto"/>
        <w:bottom w:val="none" w:sz="0" w:space="0" w:color="auto"/>
        <w:right w:val="none" w:sz="0" w:space="0" w:color="auto"/>
      </w:divBdr>
    </w:div>
    <w:div w:id="1597903511">
      <w:bodyDiv w:val="1"/>
      <w:marLeft w:val="0"/>
      <w:marRight w:val="0"/>
      <w:marTop w:val="0"/>
      <w:marBottom w:val="0"/>
      <w:divBdr>
        <w:top w:val="none" w:sz="0" w:space="0" w:color="auto"/>
        <w:left w:val="none" w:sz="0" w:space="0" w:color="auto"/>
        <w:bottom w:val="none" w:sz="0" w:space="0" w:color="auto"/>
        <w:right w:val="none" w:sz="0" w:space="0" w:color="auto"/>
      </w:divBdr>
    </w:div>
    <w:div w:id="1622615269">
      <w:bodyDiv w:val="1"/>
      <w:marLeft w:val="0"/>
      <w:marRight w:val="0"/>
      <w:marTop w:val="0"/>
      <w:marBottom w:val="0"/>
      <w:divBdr>
        <w:top w:val="none" w:sz="0" w:space="0" w:color="auto"/>
        <w:left w:val="none" w:sz="0" w:space="0" w:color="auto"/>
        <w:bottom w:val="none" w:sz="0" w:space="0" w:color="auto"/>
        <w:right w:val="none" w:sz="0" w:space="0" w:color="auto"/>
      </w:divBdr>
    </w:div>
    <w:div w:id="1634092539">
      <w:bodyDiv w:val="1"/>
      <w:marLeft w:val="0"/>
      <w:marRight w:val="0"/>
      <w:marTop w:val="0"/>
      <w:marBottom w:val="0"/>
      <w:divBdr>
        <w:top w:val="none" w:sz="0" w:space="0" w:color="auto"/>
        <w:left w:val="none" w:sz="0" w:space="0" w:color="auto"/>
        <w:bottom w:val="none" w:sz="0" w:space="0" w:color="auto"/>
        <w:right w:val="none" w:sz="0" w:space="0" w:color="auto"/>
      </w:divBdr>
    </w:div>
    <w:div w:id="1639645417">
      <w:bodyDiv w:val="1"/>
      <w:marLeft w:val="0"/>
      <w:marRight w:val="0"/>
      <w:marTop w:val="0"/>
      <w:marBottom w:val="0"/>
      <w:divBdr>
        <w:top w:val="none" w:sz="0" w:space="0" w:color="auto"/>
        <w:left w:val="none" w:sz="0" w:space="0" w:color="auto"/>
        <w:bottom w:val="none" w:sz="0" w:space="0" w:color="auto"/>
        <w:right w:val="none" w:sz="0" w:space="0" w:color="auto"/>
      </w:divBdr>
    </w:div>
    <w:div w:id="1641616178">
      <w:bodyDiv w:val="1"/>
      <w:marLeft w:val="0"/>
      <w:marRight w:val="0"/>
      <w:marTop w:val="0"/>
      <w:marBottom w:val="0"/>
      <w:divBdr>
        <w:top w:val="none" w:sz="0" w:space="0" w:color="auto"/>
        <w:left w:val="none" w:sz="0" w:space="0" w:color="auto"/>
        <w:bottom w:val="none" w:sz="0" w:space="0" w:color="auto"/>
        <w:right w:val="none" w:sz="0" w:space="0" w:color="auto"/>
      </w:divBdr>
    </w:div>
    <w:div w:id="1670019371">
      <w:bodyDiv w:val="1"/>
      <w:marLeft w:val="0"/>
      <w:marRight w:val="0"/>
      <w:marTop w:val="0"/>
      <w:marBottom w:val="0"/>
      <w:divBdr>
        <w:top w:val="none" w:sz="0" w:space="0" w:color="auto"/>
        <w:left w:val="none" w:sz="0" w:space="0" w:color="auto"/>
        <w:bottom w:val="none" w:sz="0" w:space="0" w:color="auto"/>
        <w:right w:val="none" w:sz="0" w:space="0" w:color="auto"/>
      </w:divBdr>
    </w:div>
    <w:div w:id="1721053856">
      <w:bodyDiv w:val="1"/>
      <w:marLeft w:val="0"/>
      <w:marRight w:val="0"/>
      <w:marTop w:val="0"/>
      <w:marBottom w:val="0"/>
      <w:divBdr>
        <w:top w:val="none" w:sz="0" w:space="0" w:color="auto"/>
        <w:left w:val="none" w:sz="0" w:space="0" w:color="auto"/>
        <w:bottom w:val="none" w:sz="0" w:space="0" w:color="auto"/>
        <w:right w:val="none" w:sz="0" w:space="0" w:color="auto"/>
      </w:divBdr>
    </w:div>
    <w:div w:id="1723556892">
      <w:bodyDiv w:val="1"/>
      <w:marLeft w:val="0"/>
      <w:marRight w:val="0"/>
      <w:marTop w:val="0"/>
      <w:marBottom w:val="0"/>
      <w:divBdr>
        <w:top w:val="none" w:sz="0" w:space="0" w:color="auto"/>
        <w:left w:val="none" w:sz="0" w:space="0" w:color="auto"/>
        <w:bottom w:val="none" w:sz="0" w:space="0" w:color="auto"/>
        <w:right w:val="none" w:sz="0" w:space="0" w:color="auto"/>
      </w:divBdr>
    </w:div>
    <w:div w:id="1735733589">
      <w:bodyDiv w:val="1"/>
      <w:marLeft w:val="0"/>
      <w:marRight w:val="0"/>
      <w:marTop w:val="0"/>
      <w:marBottom w:val="0"/>
      <w:divBdr>
        <w:top w:val="none" w:sz="0" w:space="0" w:color="auto"/>
        <w:left w:val="none" w:sz="0" w:space="0" w:color="auto"/>
        <w:bottom w:val="none" w:sz="0" w:space="0" w:color="auto"/>
        <w:right w:val="none" w:sz="0" w:space="0" w:color="auto"/>
      </w:divBdr>
    </w:div>
    <w:div w:id="1919750133">
      <w:bodyDiv w:val="1"/>
      <w:marLeft w:val="0"/>
      <w:marRight w:val="0"/>
      <w:marTop w:val="0"/>
      <w:marBottom w:val="0"/>
      <w:divBdr>
        <w:top w:val="none" w:sz="0" w:space="0" w:color="auto"/>
        <w:left w:val="none" w:sz="0" w:space="0" w:color="auto"/>
        <w:bottom w:val="none" w:sz="0" w:space="0" w:color="auto"/>
        <w:right w:val="none" w:sz="0" w:space="0" w:color="auto"/>
      </w:divBdr>
    </w:div>
    <w:div w:id="1950090540">
      <w:bodyDiv w:val="1"/>
      <w:marLeft w:val="0"/>
      <w:marRight w:val="0"/>
      <w:marTop w:val="0"/>
      <w:marBottom w:val="0"/>
      <w:divBdr>
        <w:top w:val="none" w:sz="0" w:space="0" w:color="auto"/>
        <w:left w:val="none" w:sz="0" w:space="0" w:color="auto"/>
        <w:bottom w:val="none" w:sz="0" w:space="0" w:color="auto"/>
        <w:right w:val="none" w:sz="0" w:space="0" w:color="auto"/>
      </w:divBdr>
    </w:div>
    <w:div w:id="1982421925">
      <w:bodyDiv w:val="1"/>
      <w:marLeft w:val="0"/>
      <w:marRight w:val="0"/>
      <w:marTop w:val="0"/>
      <w:marBottom w:val="0"/>
      <w:divBdr>
        <w:top w:val="none" w:sz="0" w:space="0" w:color="auto"/>
        <w:left w:val="none" w:sz="0" w:space="0" w:color="auto"/>
        <w:bottom w:val="none" w:sz="0" w:space="0" w:color="auto"/>
        <w:right w:val="none" w:sz="0" w:space="0" w:color="auto"/>
      </w:divBdr>
    </w:div>
    <w:div w:id="1989095162">
      <w:bodyDiv w:val="1"/>
      <w:marLeft w:val="0"/>
      <w:marRight w:val="0"/>
      <w:marTop w:val="0"/>
      <w:marBottom w:val="0"/>
      <w:divBdr>
        <w:top w:val="none" w:sz="0" w:space="0" w:color="auto"/>
        <w:left w:val="none" w:sz="0" w:space="0" w:color="auto"/>
        <w:bottom w:val="none" w:sz="0" w:space="0" w:color="auto"/>
        <w:right w:val="none" w:sz="0" w:space="0" w:color="auto"/>
      </w:divBdr>
    </w:div>
    <w:div w:id="2046979980">
      <w:bodyDiv w:val="1"/>
      <w:marLeft w:val="0"/>
      <w:marRight w:val="0"/>
      <w:marTop w:val="0"/>
      <w:marBottom w:val="0"/>
      <w:divBdr>
        <w:top w:val="none" w:sz="0" w:space="0" w:color="auto"/>
        <w:left w:val="none" w:sz="0" w:space="0" w:color="auto"/>
        <w:bottom w:val="none" w:sz="0" w:space="0" w:color="auto"/>
        <w:right w:val="none" w:sz="0" w:space="0" w:color="auto"/>
      </w:divBdr>
    </w:div>
    <w:div w:id="2077700621">
      <w:bodyDiv w:val="1"/>
      <w:marLeft w:val="0"/>
      <w:marRight w:val="0"/>
      <w:marTop w:val="0"/>
      <w:marBottom w:val="0"/>
      <w:divBdr>
        <w:top w:val="none" w:sz="0" w:space="0" w:color="auto"/>
        <w:left w:val="none" w:sz="0" w:space="0" w:color="auto"/>
        <w:bottom w:val="none" w:sz="0" w:space="0" w:color="auto"/>
        <w:right w:val="none" w:sz="0" w:space="0" w:color="auto"/>
      </w:divBdr>
    </w:div>
    <w:div w:id="2085518799">
      <w:bodyDiv w:val="1"/>
      <w:marLeft w:val="0"/>
      <w:marRight w:val="0"/>
      <w:marTop w:val="0"/>
      <w:marBottom w:val="0"/>
      <w:divBdr>
        <w:top w:val="none" w:sz="0" w:space="0" w:color="auto"/>
        <w:left w:val="none" w:sz="0" w:space="0" w:color="auto"/>
        <w:bottom w:val="none" w:sz="0" w:space="0" w:color="auto"/>
        <w:right w:val="none" w:sz="0" w:space="0" w:color="auto"/>
      </w:divBdr>
    </w:div>
    <w:div w:id="20886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A6E4-503E-4F93-A1D5-B08339AD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4714</Words>
  <Characters>2687</Characters>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2017-07-07T13:19:00Z</cp:lastPrinted>
  <dcterms:created xsi:type="dcterms:W3CDTF">2026-01-21T14:38:00Z</dcterms:created>
  <dcterms:modified xsi:type="dcterms:W3CDTF">2026-02-19T12:25:00Z</dcterms:modified>
</cp:coreProperties>
</file>