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10BBA" w14:textId="77777777" w:rsidR="00AE3E04" w:rsidRPr="00DB34D9" w:rsidRDefault="00AE3E04" w:rsidP="00AE3E04">
      <w:pPr>
        <w:spacing w:after="0" w:line="22" w:lineRule="atLeast"/>
        <w:jc w:val="center"/>
        <w:rPr>
          <w:rFonts w:ascii="Times New Roman" w:eastAsia="SimSun" w:hAnsi="Times New Roman"/>
          <w:b/>
          <w:bCs/>
          <w:sz w:val="28"/>
          <w:szCs w:val="28"/>
          <w:lang w:val="uk-UA" w:eastAsia="ru-RU"/>
        </w:rPr>
      </w:pPr>
      <w:r w:rsidRPr="00DB34D9">
        <w:rPr>
          <w:rFonts w:ascii="Times New Roman" w:eastAsia="SimSun" w:hAnsi="Times New Roman"/>
          <w:b/>
          <w:bCs/>
          <w:sz w:val="28"/>
          <w:szCs w:val="28"/>
          <w:lang w:val="uk-UA" w:eastAsia="ru-RU"/>
        </w:rPr>
        <w:t>ПОЯСНЮВАЛЬНА ЗАПИСКА</w:t>
      </w:r>
    </w:p>
    <w:p w14:paraId="000D2603" w14:textId="77777777" w:rsidR="009043D4" w:rsidRPr="00DB34D9" w:rsidRDefault="009043D4" w:rsidP="001865E9">
      <w:pPr>
        <w:spacing w:after="0" w:line="22" w:lineRule="atLeast"/>
        <w:jc w:val="center"/>
        <w:rPr>
          <w:rFonts w:ascii="Times New Roman" w:eastAsia="SimSun" w:hAnsi="Times New Roman"/>
          <w:b/>
          <w:bCs/>
          <w:sz w:val="28"/>
          <w:szCs w:val="28"/>
          <w:lang w:val="uk-UA" w:eastAsia="ru-RU"/>
        </w:rPr>
      </w:pPr>
    </w:p>
    <w:p w14:paraId="5BCA6B77" w14:textId="786A2D7A" w:rsidR="001A322F" w:rsidRPr="00DB34D9" w:rsidRDefault="005019D9" w:rsidP="005019D9">
      <w:pPr>
        <w:tabs>
          <w:tab w:val="left" w:pos="1080"/>
        </w:tabs>
        <w:spacing w:before="120" w:after="120" w:line="22" w:lineRule="atLeast"/>
        <w:jc w:val="center"/>
        <w:rPr>
          <w:rFonts w:ascii="Times New Roman" w:eastAsia="SimSun" w:hAnsi="Times New Roman"/>
          <w:b/>
          <w:sz w:val="28"/>
          <w:szCs w:val="28"/>
          <w:lang w:val="uk-UA" w:eastAsia="ru-RU"/>
        </w:rPr>
      </w:pPr>
      <w:bookmarkStart w:id="0" w:name="_Hlk104804950"/>
      <w:r w:rsidRPr="00DB34D9">
        <w:rPr>
          <w:rFonts w:ascii="Times New Roman" w:eastAsia="SimSun" w:hAnsi="Times New Roman"/>
          <w:b/>
          <w:sz w:val="28"/>
          <w:szCs w:val="28"/>
          <w:lang w:val="uk-UA" w:eastAsia="ru-RU"/>
        </w:rPr>
        <w:t xml:space="preserve">до </w:t>
      </w:r>
      <w:r w:rsidR="0026676E" w:rsidRPr="00DB34D9">
        <w:rPr>
          <w:rFonts w:ascii="Times New Roman" w:eastAsia="SimSun" w:hAnsi="Times New Roman"/>
          <w:b/>
          <w:sz w:val="28"/>
          <w:szCs w:val="28"/>
          <w:lang w:val="uk-UA" w:eastAsia="ru-RU"/>
        </w:rPr>
        <w:t xml:space="preserve">проекту Закону України </w:t>
      </w:r>
      <w:r w:rsidR="00E77065" w:rsidRPr="00DB34D9">
        <w:rPr>
          <w:rFonts w:ascii="Times New Roman" w:eastAsia="SimSun" w:hAnsi="Times New Roman"/>
          <w:b/>
          <w:sz w:val="28"/>
          <w:szCs w:val="28"/>
          <w:lang w:val="uk-UA" w:eastAsia="ru-RU"/>
        </w:rPr>
        <w:t>«</w:t>
      </w:r>
      <w:r w:rsidR="00FE5DB0" w:rsidRPr="00FE5DB0">
        <w:rPr>
          <w:rFonts w:ascii="Times New Roman" w:eastAsia="SimSun" w:hAnsi="Times New Roman"/>
          <w:b/>
          <w:sz w:val="28"/>
          <w:szCs w:val="28"/>
          <w:lang w:val="uk-UA" w:eastAsia="ru-RU"/>
        </w:rPr>
        <w:t>Про внесення змін до деяких законів України щодо гарантування щорічної індексації грошових виплат членам сімей загиблих (померлих) ветеранів війни, Захисників і Захисниць України</w:t>
      </w:r>
      <w:r w:rsidR="00E77065" w:rsidRPr="00DB34D9">
        <w:rPr>
          <w:rFonts w:ascii="Times New Roman" w:eastAsia="SimSun" w:hAnsi="Times New Roman"/>
          <w:b/>
          <w:sz w:val="28"/>
          <w:szCs w:val="28"/>
          <w:lang w:val="uk-UA" w:eastAsia="ru-RU"/>
        </w:rPr>
        <w:t>»</w:t>
      </w:r>
    </w:p>
    <w:p w14:paraId="50667B00" w14:textId="77777777" w:rsidR="009043D4" w:rsidRPr="00DB34D9" w:rsidRDefault="009043D4" w:rsidP="005019D9">
      <w:pPr>
        <w:tabs>
          <w:tab w:val="left" w:pos="1080"/>
        </w:tabs>
        <w:spacing w:before="120" w:after="120" w:line="22" w:lineRule="atLeast"/>
        <w:jc w:val="center"/>
        <w:rPr>
          <w:rFonts w:ascii="Times New Roman" w:eastAsia="SimSun" w:hAnsi="Times New Roman"/>
          <w:b/>
          <w:sz w:val="28"/>
          <w:szCs w:val="28"/>
          <w:lang w:val="uk-UA" w:eastAsia="ru-RU"/>
        </w:rPr>
      </w:pPr>
    </w:p>
    <w:bookmarkEnd w:id="0"/>
    <w:p w14:paraId="7F899C9A" w14:textId="67B8121E" w:rsidR="007438DF" w:rsidRPr="00DB34D9" w:rsidRDefault="007438DF" w:rsidP="001865E9">
      <w:pPr>
        <w:pStyle w:val="a3"/>
        <w:numPr>
          <w:ilvl w:val="0"/>
          <w:numId w:val="1"/>
        </w:numPr>
        <w:tabs>
          <w:tab w:val="left" w:pos="993"/>
        </w:tabs>
        <w:spacing w:after="120" w:line="22" w:lineRule="atLeast"/>
        <w:ind w:left="714" w:hanging="147"/>
        <w:rPr>
          <w:rFonts w:ascii="Times New Roman" w:hAnsi="Times New Roman"/>
          <w:sz w:val="28"/>
          <w:szCs w:val="28"/>
          <w:lang w:eastAsia="uk-UA"/>
        </w:rPr>
      </w:pPr>
      <w:r w:rsidRPr="00DB34D9">
        <w:rPr>
          <w:rFonts w:ascii="Times New Roman" w:hAnsi="Times New Roman"/>
          <w:b/>
          <w:bCs/>
          <w:sz w:val="28"/>
          <w:szCs w:val="28"/>
          <w:lang w:eastAsia="uk-UA"/>
        </w:rPr>
        <w:t>Обґрунтування необхідності прийняття законопроекту</w:t>
      </w:r>
    </w:p>
    <w:p w14:paraId="6C710F4B" w14:textId="2DEC58A9" w:rsidR="00FC23BC" w:rsidRDefault="00FC23BC" w:rsidP="000665DE">
      <w:pPr>
        <w:spacing w:line="22" w:lineRule="atLeast"/>
        <w:ind w:firstLine="567"/>
        <w:jc w:val="both"/>
        <w:rPr>
          <w:rFonts w:ascii="Times New Roman" w:hAnsi="Times New Roman"/>
          <w:sz w:val="28"/>
          <w:szCs w:val="28"/>
          <w:lang w:val="uk-UA" w:bidi="ur-PK"/>
        </w:rPr>
      </w:pPr>
      <w:r w:rsidRPr="00FC23BC">
        <w:rPr>
          <w:rFonts w:ascii="Times New Roman" w:hAnsi="Times New Roman"/>
          <w:sz w:val="28"/>
          <w:szCs w:val="28"/>
          <w:lang w:val="uk-UA" w:bidi="ur-PK"/>
        </w:rPr>
        <w:t xml:space="preserve">Повномасштабна збройна агресія Російської Федерації проти України, що розпочалася 24 лютого 2022 року та триває станом на 2026 рік, спричинила значні людські втрати серед Захисників і Захисниць України. </w:t>
      </w:r>
      <w:r w:rsidR="000665DE" w:rsidRPr="000665DE">
        <w:rPr>
          <w:rFonts w:ascii="Times New Roman" w:hAnsi="Times New Roman"/>
          <w:sz w:val="28"/>
          <w:szCs w:val="28"/>
          <w:lang w:val="uk-UA" w:bidi="ur-PK"/>
        </w:rPr>
        <w:t>Кількість</w:t>
      </w:r>
      <w:r w:rsidR="000665DE" w:rsidRPr="000665DE">
        <w:t xml:space="preserve"> </w:t>
      </w:r>
      <w:r w:rsidR="000665DE" w:rsidRPr="000665DE">
        <w:rPr>
          <w:rFonts w:ascii="Times New Roman" w:hAnsi="Times New Roman"/>
          <w:sz w:val="28"/>
          <w:szCs w:val="28"/>
          <w:lang w:val="uk-UA" w:bidi="ur-PK"/>
        </w:rPr>
        <w:t>сімей загиблих (померлих) Захисників і Захисниць України</w:t>
      </w:r>
      <w:r w:rsidR="000665DE">
        <w:rPr>
          <w:rFonts w:ascii="Times New Roman" w:hAnsi="Times New Roman"/>
          <w:sz w:val="28"/>
          <w:szCs w:val="28"/>
          <w:lang w:val="uk-UA" w:bidi="ur-PK"/>
        </w:rPr>
        <w:t xml:space="preserve"> </w:t>
      </w:r>
      <w:r w:rsidRPr="00FC23BC">
        <w:rPr>
          <w:rFonts w:ascii="Times New Roman" w:hAnsi="Times New Roman"/>
          <w:sz w:val="28"/>
          <w:szCs w:val="28"/>
          <w:lang w:val="uk-UA" w:bidi="ur-PK"/>
        </w:rPr>
        <w:t>зросла в рази, і для таких сімей державні гарантії у вигляді одноразової грошової допомоги є не лише ключовим, а часто єдиним джерелом існування, а також формою моральної та матеріальної компенсації за непоправну втрату близьких, які віддали життя за незалежність, суверенітет і територіальну цілісність України.</w:t>
      </w:r>
    </w:p>
    <w:p w14:paraId="5A1CBA29" w14:textId="0CD77276" w:rsidR="00FC23BC" w:rsidRDefault="000665DE" w:rsidP="00A33293">
      <w:pPr>
        <w:spacing w:line="22" w:lineRule="atLeast"/>
        <w:ind w:firstLine="567"/>
        <w:jc w:val="both"/>
        <w:rPr>
          <w:rFonts w:ascii="Times New Roman" w:hAnsi="Times New Roman"/>
          <w:sz w:val="28"/>
          <w:szCs w:val="28"/>
          <w:lang w:val="uk-UA" w:bidi="ur-PK"/>
        </w:rPr>
      </w:pPr>
      <w:r w:rsidRPr="000665DE">
        <w:rPr>
          <w:rFonts w:ascii="Times New Roman" w:hAnsi="Times New Roman"/>
          <w:sz w:val="28"/>
          <w:szCs w:val="28"/>
          <w:lang w:val="uk-UA" w:bidi="ur-PK"/>
        </w:rPr>
        <w:t xml:space="preserve">В умовах стійкої інфляції, </w:t>
      </w:r>
      <w:r>
        <w:rPr>
          <w:rFonts w:ascii="Times New Roman" w:hAnsi="Times New Roman"/>
          <w:sz w:val="28"/>
          <w:szCs w:val="28"/>
          <w:lang w:val="uk-UA" w:bidi="ur-PK"/>
        </w:rPr>
        <w:t xml:space="preserve">постійного </w:t>
      </w:r>
      <w:r w:rsidRPr="000665DE">
        <w:rPr>
          <w:rFonts w:ascii="Times New Roman" w:hAnsi="Times New Roman"/>
          <w:sz w:val="28"/>
          <w:szCs w:val="28"/>
          <w:lang w:val="uk-UA" w:bidi="ur-PK"/>
        </w:rPr>
        <w:t xml:space="preserve">зростання індексу споживчих цін, </w:t>
      </w:r>
      <w:proofErr w:type="spellStart"/>
      <w:r w:rsidRPr="000665DE">
        <w:rPr>
          <w:rFonts w:ascii="Times New Roman" w:hAnsi="Times New Roman"/>
          <w:sz w:val="28"/>
          <w:szCs w:val="28"/>
          <w:lang w:val="uk-UA" w:bidi="ur-PK"/>
        </w:rPr>
        <w:t>волатильн</w:t>
      </w:r>
      <w:r>
        <w:rPr>
          <w:rFonts w:ascii="Times New Roman" w:hAnsi="Times New Roman"/>
          <w:sz w:val="28"/>
          <w:szCs w:val="28"/>
          <w:lang w:val="uk-UA" w:bidi="ur-PK"/>
        </w:rPr>
        <w:t>істі</w:t>
      </w:r>
      <w:proofErr w:type="spellEnd"/>
      <w:r>
        <w:rPr>
          <w:rFonts w:ascii="Times New Roman" w:hAnsi="Times New Roman"/>
          <w:sz w:val="28"/>
          <w:szCs w:val="28"/>
          <w:lang w:val="uk-UA" w:bidi="ur-PK"/>
        </w:rPr>
        <w:t xml:space="preserve"> </w:t>
      </w:r>
      <w:r w:rsidRPr="000665DE">
        <w:rPr>
          <w:rFonts w:ascii="Times New Roman" w:hAnsi="Times New Roman"/>
          <w:sz w:val="28"/>
          <w:szCs w:val="28"/>
          <w:lang w:val="uk-UA" w:bidi="ur-PK"/>
        </w:rPr>
        <w:t xml:space="preserve">курсу національної валюти, купівельна спроможність гривні суттєво знижується. Встановлені законодавством фіксовані розміри грошових виплат членам сімей загиблих (померлих) фактичного </w:t>
      </w:r>
      <w:r>
        <w:rPr>
          <w:rFonts w:ascii="Times New Roman" w:hAnsi="Times New Roman"/>
          <w:sz w:val="28"/>
          <w:szCs w:val="28"/>
          <w:lang w:val="uk-UA" w:bidi="ur-PK"/>
        </w:rPr>
        <w:t xml:space="preserve">зменшуються </w:t>
      </w:r>
      <w:r w:rsidRPr="000665DE">
        <w:rPr>
          <w:rFonts w:ascii="Times New Roman" w:hAnsi="Times New Roman"/>
          <w:sz w:val="28"/>
          <w:szCs w:val="28"/>
          <w:lang w:val="uk-UA" w:bidi="ur-PK"/>
        </w:rPr>
        <w:t>в динаміці кількох років, що призводить до звуження обсягу державної соціальної підтримки, гарантованої Конституці</w:t>
      </w:r>
      <w:r>
        <w:rPr>
          <w:rFonts w:ascii="Times New Roman" w:hAnsi="Times New Roman"/>
          <w:sz w:val="28"/>
          <w:szCs w:val="28"/>
          <w:lang w:val="uk-UA" w:bidi="ur-PK"/>
        </w:rPr>
        <w:t>єю</w:t>
      </w:r>
      <w:r w:rsidRPr="000665DE">
        <w:rPr>
          <w:rFonts w:ascii="Times New Roman" w:hAnsi="Times New Roman"/>
          <w:sz w:val="28"/>
          <w:szCs w:val="28"/>
          <w:lang w:val="uk-UA" w:bidi="ur-PK"/>
        </w:rPr>
        <w:t xml:space="preserve"> України.</w:t>
      </w:r>
    </w:p>
    <w:p w14:paraId="59B9B62E" w14:textId="4851DE8C" w:rsidR="00FE5DB0" w:rsidRPr="000665DE" w:rsidRDefault="000665DE" w:rsidP="00A33293">
      <w:pPr>
        <w:spacing w:line="22" w:lineRule="atLeast"/>
        <w:ind w:firstLine="567"/>
        <w:jc w:val="both"/>
        <w:rPr>
          <w:rFonts w:ascii="Times New Roman" w:hAnsi="Times New Roman"/>
          <w:bCs/>
          <w:sz w:val="28"/>
          <w:szCs w:val="28"/>
          <w:lang w:val="uk-UA"/>
        </w:rPr>
      </w:pPr>
      <w:r w:rsidRPr="000665DE">
        <w:rPr>
          <w:rFonts w:ascii="Times New Roman" w:hAnsi="Times New Roman"/>
          <w:bCs/>
          <w:sz w:val="28"/>
          <w:szCs w:val="28"/>
          <w:lang w:val="uk-UA"/>
        </w:rPr>
        <w:t xml:space="preserve">З огляду на викладене, доцільним є прийняття законодавчого </w:t>
      </w:r>
      <w:proofErr w:type="spellStart"/>
      <w:r w:rsidRPr="000665DE">
        <w:rPr>
          <w:rFonts w:ascii="Times New Roman" w:hAnsi="Times New Roman"/>
          <w:bCs/>
          <w:sz w:val="28"/>
          <w:szCs w:val="28"/>
          <w:lang w:val="uk-UA"/>
        </w:rPr>
        <w:t>акта</w:t>
      </w:r>
      <w:proofErr w:type="spellEnd"/>
      <w:r w:rsidRPr="000665DE">
        <w:rPr>
          <w:rFonts w:ascii="Times New Roman" w:hAnsi="Times New Roman"/>
          <w:bCs/>
          <w:sz w:val="28"/>
          <w:szCs w:val="28"/>
          <w:lang w:val="uk-UA"/>
        </w:rPr>
        <w:t>, який би чітко врегулював щорічну індексацію всіх періодичних грошових виплат членам сімей загиблих (померлих) Захисників і Захисниць України за прозорими</w:t>
      </w:r>
      <w:r>
        <w:rPr>
          <w:rFonts w:ascii="Times New Roman" w:hAnsi="Times New Roman"/>
          <w:bCs/>
          <w:sz w:val="28"/>
          <w:szCs w:val="28"/>
          <w:lang w:val="uk-UA"/>
        </w:rPr>
        <w:t xml:space="preserve"> </w:t>
      </w:r>
      <w:r w:rsidRPr="000665DE">
        <w:rPr>
          <w:rFonts w:ascii="Times New Roman" w:hAnsi="Times New Roman"/>
          <w:bCs/>
          <w:sz w:val="28"/>
          <w:szCs w:val="28"/>
          <w:lang w:val="uk-UA"/>
        </w:rPr>
        <w:t>правилами, з автоматичним механізмом реалізації без необхідності звернень отримувачів та з пріоритетом збереження купівельної спроможності таких виплат на рівні не нижчому від загальнодержавних соціальних стандартів.</w:t>
      </w:r>
    </w:p>
    <w:p w14:paraId="2D50F9C0" w14:textId="448EE923" w:rsidR="007438DF" w:rsidRPr="00DB34D9" w:rsidRDefault="008C762C" w:rsidP="00A33293">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2. </w:t>
      </w:r>
      <w:r w:rsidR="007438DF" w:rsidRPr="00DB34D9">
        <w:rPr>
          <w:rFonts w:ascii="Times New Roman" w:hAnsi="Times New Roman"/>
          <w:b/>
          <w:bCs/>
          <w:sz w:val="28"/>
          <w:szCs w:val="28"/>
          <w:lang w:val="uk-UA"/>
        </w:rPr>
        <w:t>Цілі та завдання законопроекту</w:t>
      </w:r>
    </w:p>
    <w:p w14:paraId="409CC9BB" w14:textId="77777777" w:rsidR="00FC23BC" w:rsidRDefault="00FE5DB0" w:rsidP="006A2C0E">
      <w:pPr>
        <w:spacing w:line="22" w:lineRule="atLeast"/>
        <w:ind w:firstLine="567"/>
        <w:jc w:val="both"/>
      </w:pPr>
      <w:r w:rsidRPr="00FE5DB0">
        <w:rPr>
          <w:rFonts w:ascii="Times New Roman" w:hAnsi="Times New Roman"/>
          <w:sz w:val="28"/>
          <w:szCs w:val="28"/>
          <w:lang w:val="uk-UA" w:bidi="ur-PK"/>
        </w:rPr>
        <w:t>Метою законопроекту є запровадження обов’язкової щорічної індексації всіх періодичних (щомісячних) грошових виплат членам сімей загиблих (померлих) Захисників і Захисниць України, у тому числі періодичних частин одноразової грошової допомоги, на рівні не нижчому, ніж індексація пенсій.</w:t>
      </w:r>
      <w:r w:rsidR="00FC23BC" w:rsidRPr="00FC23BC">
        <w:t xml:space="preserve"> </w:t>
      </w:r>
    </w:p>
    <w:p w14:paraId="25DE5D0D" w14:textId="07D36AD1" w:rsidR="00A33293" w:rsidRDefault="00FC23BC" w:rsidP="006A2C0E">
      <w:pPr>
        <w:spacing w:line="22" w:lineRule="atLeast"/>
        <w:ind w:firstLine="567"/>
        <w:jc w:val="both"/>
        <w:rPr>
          <w:rFonts w:ascii="Times New Roman" w:hAnsi="Times New Roman"/>
          <w:sz w:val="28"/>
          <w:szCs w:val="28"/>
          <w:lang w:val="uk-UA" w:bidi="ur-PK"/>
        </w:rPr>
      </w:pPr>
      <w:r w:rsidRPr="00FC23BC">
        <w:rPr>
          <w:rFonts w:ascii="Times New Roman" w:hAnsi="Times New Roman"/>
          <w:sz w:val="28"/>
          <w:szCs w:val="28"/>
          <w:lang w:val="uk-UA" w:bidi="ur-PK"/>
        </w:rPr>
        <w:t>Основними завданнями законопроекту є закріплення на законодавчому рівні статусу періодичних виплат членам сімей загиблих як об’єктів індексації на загальних засадах, встановлення дати індексації (1 березня) та недопущенням застосування до цих виплат нижчого коефіцієнта, ніж до пенсій, приведення спеціальних законів у сфері соціального і правового захисту військовослужбовців, ветеранів війни та членів сімей загиблих у відповідність до зазначених підходів, підвищення рівня соціальної захищеності та прогнозованості матеріального забезпечення родин загиблих шляхом запобігання знеціненню їхніх виплат.</w:t>
      </w:r>
    </w:p>
    <w:p w14:paraId="54B5921E" w14:textId="77777777" w:rsidR="00E47A45" w:rsidRDefault="00E47A45" w:rsidP="006A2C0E">
      <w:pPr>
        <w:spacing w:line="22" w:lineRule="atLeast"/>
        <w:ind w:firstLine="567"/>
        <w:jc w:val="both"/>
        <w:rPr>
          <w:rFonts w:ascii="Times New Roman" w:hAnsi="Times New Roman"/>
          <w:sz w:val="28"/>
          <w:szCs w:val="28"/>
          <w:lang w:val="uk-UA" w:bidi="ur-PK"/>
        </w:rPr>
      </w:pPr>
      <w:bookmarkStart w:id="1" w:name="_GoBack"/>
      <w:bookmarkEnd w:id="1"/>
    </w:p>
    <w:p w14:paraId="49590122" w14:textId="59F3E6A5" w:rsidR="007438DF" w:rsidRDefault="008C762C" w:rsidP="001865E9">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lastRenderedPageBreak/>
        <w:t>3. </w:t>
      </w:r>
      <w:r w:rsidR="007438DF" w:rsidRPr="00DB34D9">
        <w:rPr>
          <w:rFonts w:ascii="Times New Roman" w:hAnsi="Times New Roman"/>
          <w:b/>
          <w:bCs/>
          <w:sz w:val="28"/>
          <w:szCs w:val="28"/>
          <w:lang w:val="uk-UA"/>
        </w:rPr>
        <w:t>Загальна характеристика та основні положення законопроекту</w:t>
      </w:r>
    </w:p>
    <w:p w14:paraId="1088F42F" w14:textId="733151A1" w:rsidR="00FC23BC" w:rsidRPr="00FC23BC" w:rsidRDefault="00FC23BC" w:rsidP="00FC23BC">
      <w:pPr>
        <w:spacing w:line="22" w:lineRule="atLeast"/>
        <w:ind w:firstLine="567"/>
        <w:jc w:val="both"/>
        <w:rPr>
          <w:rFonts w:ascii="Times New Roman" w:hAnsi="Times New Roman"/>
          <w:bCs/>
          <w:sz w:val="28"/>
          <w:szCs w:val="28"/>
          <w:lang w:val="uk-UA"/>
        </w:rPr>
      </w:pPr>
      <w:r>
        <w:rPr>
          <w:rFonts w:ascii="Times New Roman" w:hAnsi="Times New Roman"/>
          <w:bCs/>
          <w:sz w:val="28"/>
          <w:szCs w:val="28"/>
          <w:lang w:val="uk-UA"/>
        </w:rPr>
        <w:t>У</w:t>
      </w:r>
      <w:r w:rsidRPr="00FC23BC">
        <w:rPr>
          <w:rFonts w:ascii="Times New Roman" w:hAnsi="Times New Roman"/>
          <w:bCs/>
          <w:sz w:val="28"/>
          <w:szCs w:val="28"/>
          <w:lang w:val="uk-UA"/>
        </w:rPr>
        <w:t xml:space="preserve">точняється коло об’єктів індексації шляхом прямого віднесення до них щомісячних грошових виплат членам сімей загиблих (померлих) Захисників і Захисниць України, а також частин одноразової грошової допомоги, що виплачуються періодичними платежами. У </w:t>
      </w:r>
      <w:r>
        <w:rPr>
          <w:rFonts w:ascii="Times New Roman" w:hAnsi="Times New Roman"/>
          <w:bCs/>
          <w:sz w:val="28"/>
          <w:szCs w:val="28"/>
          <w:lang w:val="uk-UA"/>
        </w:rPr>
        <w:t>законодавстві</w:t>
      </w:r>
      <w:r w:rsidRPr="00FC23BC">
        <w:rPr>
          <w:rFonts w:ascii="Times New Roman" w:hAnsi="Times New Roman"/>
          <w:bCs/>
          <w:sz w:val="28"/>
          <w:szCs w:val="28"/>
          <w:lang w:val="uk-UA"/>
        </w:rPr>
        <w:t xml:space="preserve"> закріплюється, що такі виплати індексуються щороку з 1 березня одночасно з індексацією пенсій, а застосований до них коефіцієнт не може бути меншим за пенсійний.</w:t>
      </w:r>
    </w:p>
    <w:p w14:paraId="7CE42E5D" w14:textId="2A017FD0" w:rsidR="00FC23BC" w:rsidRPr="00DB34D9" w:rsidRDefault="00FC23BC" w:rsidP="001865E9">
      <w:pPr>
        <w:spacing w:line="22" w:lineRule="atLeast"/>
        <w:ind w:firstLine="567"/>
        <w:jc w:val="both"/>
        <w:rPr>
          <w:rFonts w:ascii="Times New Roman" w:hAnsi="Times New Roman"/>
          <w:b/>
          <w:bCs/>
          <w:sz w:val="28"/>
          <w:szCs w:val="28"/>
          <w:lang w:val="uk-UA"/>
        </w:rPr>
      </w:pPr>
      <w:r>
        <w:rPr>
          <w:rFonts w:ascii="Times New Roman" w:hAnsi="Times New Roman"/>
          <w:bCs/>
          <w:sz w:val="28"/>
          <w:szCs w:val="28"/>
          <w:lang w:val="uk-UA"/>
        </w:rPr>
        <w:t>До</w:t>
      </w:r>
      <w:r w:rsidRPr="00FC23BC">
        <w:rPr>
          <w:rFonts w:ascii="Times New Roman" w:hAnsi="Times New Roman"/>
          <w:bCs/>
          <w:sz w:val="28"/>
          <w:szCs w:val="28"/>
          <w:lang w:val="uk-UA"/>
        </w:rPr>
        <w:t xml:space="preserve"> законів у сфері соціального захисту ветеранів війни та військовослужбовців вносяться норми, які встановлюють обов’язок застосування до всіх періодичних виплат членам сімей загиблих механізму індексації, визначеного Законом України «Про індексацію грошових доходів населення», та покладають на Кабінет Міністрів України обов’язок розробити відповідний порядок реалізації. </w:t>
      </w:r>
    </w:p>
    <w:p w14:paraId="24F8E9ED" w14:textId="6D5BE5B4" w:rsidR="007438DF" w:rsidRPr="00DB34D9" w:rsidRDefault="008C762C" w:rsidP="00A33293">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4. </w:t>
      </w:r>
      <w:r w:rsidR="007438DF" w:rsidRPr="00DB34D9">
        <w:rPr>
          <w:rFonts w:ascii="Times New Roman" w:hAnsi="Times New Roman"/>
          <w:b/>
          <w:bCs/>
          <w:sz w:val="28"/>
          <w:szCs w:val="28"/>
          <w:lang w:val="uk-UA"/>
        </w:rPr>
        <w:t>Місце законопроекту в системі законодавства</w:t>
      </w:r>
    </w:p>
    <w:p w14:paraId="0D01C093" w14:textId="1B6CA7F1" w:rsidR="00E77065" w:rsidRPr="00DB34D9" w:rsidRDefault="007438DF" w:rsidP="000F0427">
      <w:pPr>
        <w:ind w:firstLine="567"/>
        <w:jc w:val="both"/>
        <w:rPr>
          <w:rFonts w:ascii="Times New Roman" w:hAnsi="Times New Roman"/>
          <w:sz w:val="28"/>
          <w:szCs w:val="28"/>
          <w:lang w:val="uk-UA" w:bidi="ur-PK"/>
        </w:rPr>
      </w:pPr>
      <w:r w:rsidRPr="00DB34D9">
        <w:rPr>
          <w:rFonts w:ascii="Times New Roman" w:hAnsi="Times New Roman"/>
          <w:sz w:val="28"/>
          <w:szCs w:val="28"/>
          <w:lang w:val="uk-UA" w:bidi="ur-PK"/>
        </w:rPr>
        <w:t>Нормативно-правову базу у даній сфері правового регулювання становить Конституція України</w:t>
      </w:r>
      <w:r w:rsidR="00E77065" w:rsidRPr="00DB34D9">
        <w:rPr>
          <w:rFonts w:ascii="Times New Roman" w:hAnsi="Times New Roman"/>
          <w:sz w:val="28"/>
          <w:szCs w:val="28"/>
          <w:lang w:val="uk-UA" w:bidi="ur-PK"/>
        </w:rPr>
        <w:t xml:space="preserve"> та </w:t>
      </w:r>
      <w:r w:rsidR="00FE5DB0" w:rsidRPr="00FE5DB0">
        <w:rPr>
          <w:rFonts w:ascii="Times New Roman" w:hAnsi="Times New Roman"/>
          <w:sz w:val="28"/>
          <w:szCs w:val="28"/>
          <w:lang w:val="uk-UA" w:bidi="ur-PK"/>
        </w:rPr>
        <w:t>Закон</w:t>
      </w:r>
      <w:r w:rsidR="00FE5DB0">
        <w:rPr>
          <w:rFonts w:ascii="Times New Roman" w:hAnsi="Times New Roman"/>
          <w:sz w:val="28"/>
          <w:szCs w:val="28"/>
          <w:lang w:val="uk-UA" w:bidi="ur-PK"/>
        </w:rPr>
        <w:t>и</w:t>
      </w:r>
      <w:r w:rsidR="00FE5DB0" w:rsidRPr="00FE5DB0">
        <w:rPr>
          <w:rFonts w:ascii="Times New Roman" w:hAnsi="Times New Roman"/>
          <w:sz w:val="28"/>
          <w:szCs w:val="28"/>
          <w:lang w:val="uk-UA" w:bidi="ur-PK"/>
        </w:rPr>
        <w:t xml:space="preserve"> України «Про індексацію грошових доходів населення», «Про статус ветеранів війни, гарантії їх соціального захисту» та «Про соціальний і правовий захист військовослужбовців та членів їх сімей».</w:t>
      </w:r>
    </w:p>
    <w:p w14:paraId="06640243" w14:textId="77777777" w:rsidR="007438DF" w:rsidRPr="00DB34D9" w:rsidRDefault="008C762C" w:rsidP="008C762C">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5. </w:t>
      </w:r>
      <w:r w:rsidR="007438DF" w:rsidRPr="00DB34D9">
        <w:rPr>
          <w:rFonts w:ascii="Times New Roman" w:hAnsi="Times New Roman"/>
          <w:b/>
          <w:bCs/>
          <w:sz w:val="28"/>
          <w:szCs w:val="28"/>
          <w:lang w:val="uk-UA"/>
        </w:rPr>
        <w:t>Фінансово-економічне обґрунтування</w:t>
      </w:r>
    </w:p>
    <w:p w14:paraId="45B7733F" w14:textId="5C208BCC" w:rsidR="007438DF" w:rsidRPr="00DB34D9" w:rsidRDefault="00FE5DB0" w:rsidP="001865E9">
      <w:pPr>
        <w:widowControl w:val="0"/>
        <w:suppressAutoHyphens/>
        <w:autoSpaceDE w:val="0"/>
        <w:spacing w:after="0" w:line="22" w:lineRule="atLeast"/>
        <w:ind w:firstLine="709"/>
        <w:jc w:val="both"/>
        <w:rPr>
          <w:rFonts w:ascii="Times New Roman" w:hAnsi="Times New Roman"/>
          <w:sz w:val="28"/>
          <w:szCs w:val="28"/>
          <w:lang w:val="uk-UA"/>
        </w:rPr>
      </w:pPr>
      <w:r w:rsidRPr="00FE5DB0">
        <w:rPr>
          <w:rFonts w:ascii="Times New Roman" w:hAnsi="Times New Roman"/>
          <w:sz w:val="28"/>
          <w:szCs w:val="28"/>
          <w:lang w:val="uk-UA"/>
        </w:rPr>
        <w:t>Видатки здійснюватимуться в межах і за рахунок коштів, щороку передбачених у Державному бюджеті за відповідними програмами соціального захисту ветеранів війни, військовослужбовців та членів їхніх сімей. Орієнтовний обсяг додаткових видатків Кабінет Міністрів України визначатиме щороку під час підготовки проєкту Державного бюджету з урахуванням прогнозних макроекономічних показників і кількості одержувачів відповідних виплат.</w:t>
      </w:r>
    </w:p>
    <w:p w14:paraId="29CD067D" w14:textId="77777777" w:rsidR="007438DF" w:rsidRPr="00DB34D9" w:rsidRDefault="007438DF" w:rsidP="001865E9">
      <w:pPr>
        <w:widowControl w:val="0"/>
        <w:spacing w:after="0" w:line="22" w:lineRule="atLeast"/>
        <w:ind w:firstLine="567"/>
        <w:contextualSpacing/>
        <w:jc w:val="both"/>
        <w:outlineLvl w:val="2"/>
        <w:rPr>
          <w:rFonts w:ascii="Times New Roman" w:hAnsi="Times New Roman"/>
          <w:sz w:val="28"/>
          <w:szCs w:val="28"/>
          <w:lang w:val="uk-UA"/>
        </w:rPr>
      </w:pPr>
    </w:p>
    <w:p w14:paraId="397EB1A4" w14:textId="77777777" w:rsidR="007438DF" w:rsidRPr="00DB34D9" w:rsidRDefault="008C762C" w:rsidP="008C762C">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6. </w:t>
      </w:r>
      <w:r w:rsidR="007438DF" w:rsidRPr="00DB34D9">
        <w:rPr>
          <w:rFonts w:ascii="Times New Roman" w:hAnsi="Times New Roman"/>
          <w:b/>
          <w:bCs/>
          <w:sz w:val="28"/>
          <w:szCs w:val="28"/>
          <w:lang w:val="uk-UA"/>
        </w:rPr>
        <w:t>Обґрунтування очікуваних соціально-економічних, правових та інших наслідків застосування законопроекту після його прийняття</w:t>
      </w:r>
    </w:p>
    <w:p w14:paraId="429EE5D1" w14:textId="61E4DBCE" w:rsidR="003052AA" w:rsidRPr="00DB34D9" w:rsidRDefault="00FC23BC" w:rsidP="001865E9">
      <w:pPr>
        <w:spacing w:line="22" w:lineRule="atLeast"/>
        <w:ind w:firstLine="709"/>
        <w:jc w:val="both"/>
        <w:rPr>
          <w:rFonts w:ascii="Times New Roman" w:hAnsi="Times New Roman"/>
          <w:bCs/>
          <w:sz w:val="28"/>
          <w:szCs w:val="28"/>
          <w:lang w:val="uk-UA" w:eastAsia="ar-SA"/>
        </w:rPr>
      </w:pPr>
      <w:r w:rsidRPr="00FC23BC">
        <w:rPr>
          <w:rFonts w:ascii="Times New Roman" w:hAnsi="Times New Roman"/>
          <w:bCs/>
          <w:sz w:val="28"/>
          <w:szCs w:val="28"/>
          <w:lang w:val="uk-UA" w:eastAsia="ar-SA"/>
        </w:rPr>
        <w:t>Прийняття законопроекту забезпечить підвищення рівня соціального захисту членів сімей загиблих (померлих)</w:t>
      </w:r>
      <w:r w:rsidRPr="00FC23BC">
        <w:t xml:space="preserve"> </w:t>
      </w:r>
      <w:r w:rsidRPr="00FC23BC">
        <w:rPr>
          <w:rFonts w:ascii="Times New Roman" w:hAnsi="Times New Roman"/>
          <w:bCs/>
          <w:sz w:val="28"/>
          <w:szCs w:val="28"/>
          <w:lang w:val="uk-UA" w:eastAsia="ar-SA"/>
        </w:rPr>
        <w:t>ветеранів</w:t>
      </w:r>
      <w:r>
        <w:rPr>
          <w:rFonts w:ascii="Times New Roman" w:hAnsi="Times New Roman"/>
          <w:bCs/>
          <w:sz w:val="28"/>
          <w:szCs w:val="28"/>
          <w:lang w:val="uk-UA" w:eastAsia="ar-SA"/>
        </w:rPr>
        <w:t>,</w:t>
      </w:r>
      <w:r w:rsidRPr="00FC23BC">
        <w:rPr>
          <w:rFonts w:ascii="Times New Roman" w:hAnsi="Times New Roman"/>
          <w:bCs/>
          <w:sz w:val="28"/>
          <w:szCs w:val="28"/>
          <w:lang w:val="uk-UA" w:eastAsia="ar-SA"/>
        </w:rPr>
        <w:t xml:space="preserve"> Захисників і Захисниць України, шляхом збереження реальної вартості наданих їм державою грошових гарантій. Запровадження щорічної індексації цих виплат за прозорим та передбачуваним механізмом, сприятиме стабільності доходів таких сімей та зменшенню ризиків їхнього збідніння внаслідок інфляці</w:t>
      </w:r>
      <w:r>
        <w:rPr>
          <w:rFonts w:ascii="Times New Roman" w:hAnsi="Times New Roman"/>
          <w:bCs/>
          <w:sz w:val="28"/>
          <w:szCs w:val="28"/>
          <w:lang w:val="uk-UA" w:eastAsia="ar-SA"/>
        </w:rPr>
        <w:t>ї.</w:t>
      </w:r>
    </w:p>
    <w:p w14:paraId="72685297" w14:textId="2735606B" w:rsidR="00AE3E04" w:rsidRPr="00DB34D9" w:rsidRDefault="00AE3E04" w:rsidP="001865E9">
      <w:pPr>
        <w:spacing w:line="22" w:lineRule="atLeast"/>
        <w:ind w:firstLine="709"/>
        <w:jc w:val="both"/>
        <w:rPr>
          <w:rFonts w:ascii="Times New Roman" w:hAnsi="Times New Roman"/>
          <w:b/>
          <w:bCs/>
          <w:sz w:val="28"/>
          <w:szCs w:val="28"/>
          <w:lang w:val="uk-UA" w:eastAsia="ar-SA"/>
        </w:rPr>
      </w:pPr>
    </w:p>
    <w:p w14:paraId="45C0C28F" w14:textId="77777777" w:rsidR="00AE3E04" w:rsidRPr="00DB34D9" w:rsidRDefault="00AE3E04" w:rsidP="001865E9">
      <w:pPr>
        <w:spacing w:line="22" w:lineRule="atLeast"/>
        <w:ind w:firstLine="709"/>
        <w:jc w:val="both"/>
        <w:rPr>
          <w:rFonts w:ascii="Times New Roman" w:hAnsi="Times New Roman"/>
          <w:b/>
          <w:bCs/>
          <w:sz w:val="28"/>
          <w:szCs w:val="28"/>
          <w:lang w:val="uk-UA" w:eastAsia="ar-SA"/>
        </w:rPr>
      </w:pPr>
    </w:p>
    <w:p w14:paraId="64E36C33" w14:textId="77777777" w:rsidR="007438DF" w:rsidRPr="00DB34D9" w:rsidRDefault="00C8698A" w:rsidP="001865E9">
      <w:pPr>
        <w:spacing w:line="22" w:lineRule="atLeast"/>
        <w:ind w:firstLine="709"/>
        <w:jc w:val="both"/>
        <w:rPr>
          <w:sz w:val="28"/>
          <w:szCs w:val="28"/>
          <w:lang w:val="uk-UA"/>
        </w:rPr>
      </w:pPr>
      <w:r w:rsidRPr="00DB34D9">
        <w:rPr>
          <w:rFonts w:ascii="Times New Roman" w:hAnsi="Times New Roman"/>
          <w:b/>
          <w:bCs/>
          <w:sz w:val="28"/>
          <w:szCs w:val="28"/>
          <w:lang w:val="uk-UA" w:eastAsia="ar-SA"/>
        </w:rPr>
        <w:t xml:space="preserve">Народний депутат України                                 </w:t>
      </w:r>
      <w:proofErr w:type="spellStart"/>
      <w:r w:rsidR="00BF634A" w:rsidRPr="00DB34D9">
        <w:rPr>
          <w:rFonts w:ascii="Times New Roman" w:hAnsi="Times New Roman"/>
          <w:b/>
          <w:bCs/>
          <w:sz w:val="28"/>
          <w:szCs w:val="28"/>
          <w:lang w:val="uk-UA" w:eastAsia="ar-SA"/>
        </w:rPr>
        <w:t>Дубінський</w:t>
      </w:r>
      <w:proofErr w:type="spellEnd"/>
      <w:r w:rsidR="00BF634A" w:rsidRPr="00DB34D9">
        <w:rPr>
          <w:rFonts w:ascii="Times New Roman" w:hAnsi="Times New Roman"/>
          <w:b/>
          <w:bCs/>
          <w:sz w:val="28"/>
          <w:szCs w:val="28"/>
          <w:lang w:val="uk-UA" w:eastAsia="ar-SA"/>
        </w:rPr>
        <w:t xml:space="preserve"> О.А.</w:t>
      </w:r>
    </w:p>
    <w:sectPr w:rsidR="007438DF" w:rsidRPr="00DB34D9" w:rsidSect="00D83EB8">
      <w:headerReference w:type="default" r:id="rId8"/>
      <w:pgSz w:w="11900" w:h="16840"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5DD92" w14:textId="77777777" w:rsidR="00FD0AF1" w:rsidRDefault="00FD0AF1" w:rsidP="008E410A">
      <w:pPr>
        <w:spacing w:after="0" w:line="240" w:lineRule="auto"/>
      </w:pPr>
      <w:r>
        <w:separator/>
      </w:r>
    </w:p>
  </w:endnote>
  <w:endnote w:type="continuationSeparator" w:id="0">
    <w:p w14:paraId="794B3EFC" w14:textId="77777777" w:rsidR="00FD0AF1" w:rsidRDefault="00FD0AF1" w:rsidP="008E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AFA0F" w14:textId="77777777" w:rsidR="00FD0AF1" w:rsidRDefault="00FD0AF1" w:rsidP="008E410A">
      <w:pPr>
        <w:spacing w:after="0" w:line="240" w:lineRule="auto"/>
      </w:pPr>
      <w:r>
        <w:separator/>
      </w:r>
    </w:p>
  </w:footnote>
  <w:footnote w:type="continuationSeparator" w:id="0">
    <w:p w14:paraId="710114EE" w14:textId="77777777" w:rsidR="00FD0AF1" w:rsidRDefault="00FD0AF1" w:rsidP="008E4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537590"/>
      <w:docPartObj>
        <w:docPartGallery w:val="Page Numbers (Top of Page)"/>
        <w:docPartUnique/>
      </w:docPartObj>
    </w:sdtPr>
    <w:sdtEndPr/>
    <w:sdtContent>
      <w:p w14:paraId="7E818A63" w14:textId="77777777" w:rsidR="008E410A" w:rsidRDefault="008E410A">
        <w:pPr>
          <w:pStyle w:val="aa"/>
          <w:jc w:val="center"/>
        </w:pPr>
        <w:r>
          <w:fldChar w:fldCharType="begin"/>
        </w:r>
        <w:r>
          <w:instrText>PAGE   \* MERGEFORMAT</w:instrText>
        </w:r>
        <w:r>
          <w:fldChar w:fldCharType="separate"/>
        </w:r>
        <w:r>
          <w:t>2</w:t>
        </w:r>
        <w:r>
          <w:fldChar w:fldCharType="end"/>
        </w:r>
      </w:p>
    </w:sdtContent>
  </w:sdt>
  <w:p w14:paraId="4AA6E25D" w14:textId="77777777" w:rsidR="008E410A" w:rsidRDefault="008E41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7F8C"/>
    <w:multiLevelType w:val="hybridMultilevel"/>
    <w:tmpl w:val="F47CD30A"/>
    <w:lvl w:ilvl="0" w:tplc="91E2207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38818B2"/>
    <w:multiLevelType w:val="hybridMultilevel"/>
    <w:tmpl w:val="89645A00"/>
    <w:lvl w:ilvl="0" w:tplc="7806133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702E3F"/>
    <w:multiLevelType w:val="hybridMultilevel"/>
    <w:tmpl w:val="9C8AE25E"/>
    <w:lvl w:ilvl="0" w:tplc="F214876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EBD3677"/>
    <w:multiLevelType w:val="hybridMultilevel"/>
    <w:tmpl w:val="1822237E"/>
    <w:lvl w:ilvl="0" w:tplc="8E4A2F12">
      <w:start w:val="6"/>
      <w:numFmt w:val="bullet"/>
      <w:lvlText w:val="-"/>
      <w:lvlJc w:val="left"/>
      <w:pPr>
        <w:ind w:left="1069" w:hanging="360"/>
      </w:pPr>
      <w:rPr>
        <w:rFonts w:ascii="Times New Roman" w:eastAsia="Times New Roman"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DF"/>
    <w:rsid w:val="00005118"/>
    <w:rsid w:val="00022841"/>
    <w:rsid w:val="00037CD8"/>
    <w:rsid w:val="000456D0"/>
    <w:rsid w:val="00051825"/>
    <w:rsid w:val="000665DE"/>
    <w:rsid w:val="00082927"/>
    <w:rsid w:val="00087DEF"/>
    <w:rsid w:val="000E097F"/>
    <w:rsid w:val="000E21B0"/>
    <w:rsid w:val="000E6457"/>
    <w:rsid w:val="000F0427"/>
    <w:rsid w:val="000F38A2"/>
    <w:rsid w:val="00126EC7"/>
    <w:rsid w:val="0014416D"/>
    <w:rsid w:val="001668E6"/>
    <w:rsid w:val="001865E9"/>
    <w:rsid w:val="0019063D"/>
    <w:rsid w:val="001A012D"/>
    <w:rsid w:val="001A02D3"/>
    <w:rsid w:val="001A322F"/>
    <w:rsid w:val="001A5CA2"/>
    <w:rsid w:val="001A67BF"/>
    <w:rsid w:val="001C6005"/>
    <w:rsid w:val="001F007D"/>
    <w:rsid w:val="00210CA8"/>
    <w:rsid w:val="002236DE"/>
    <w:rsid w:val="0026676E"/>
    <w:rsid w:val="002671E9"/>
    <w:rsid w:val="00277869"/>
    <w:rsid w:val="00281195"/>
    <w:rsid w:val="00284542"/>
    <w:rsid w:val="002C0FBD"/>
    <w:rsid w:val="002E1FD6"/>
    <w:rsid w:val="002F3CC4"/>
    <w:rsid w:val="002F52FE"/>
    <w:rsid w:val="003052AA"/>
    <w:rsid w:val="00306C74"/>
    <w:rsid w:val="003312FB"/>
    <w:rsid w:val="00381C85"/>
    <w:rsid w:val="0039004E"/>
    <w:rsid w:val="003D6094"/>
    <w:rsid w:val="00426A01"/>
    <w:rsid w:val="00454615"/>
    <w:rsid w:val="004A49F0"/>
    <w:rsid w:val="004B2E83"/>
    <w:rsid w:val="004B4758"/>
    <w:rsid w:val="004C64B7"/>
    <w:rsid w:val="004D1672"/>
    <w:rsid w:val="005019D9"/>
    <w:rsid w:val="0050539E"/>
    <w:rsid w:val="005122FC"/>
    <w:rsid w:val="00530C03"/>
    <w:rsid w:val="005323AE"/>
    <w:rsid w:val="00592819"/>
    <w:rsid w:val="00593839"/>
    <w:rsid w:val="005A5262"/>
    <w:rsid w:val="005C046A"/>
    <w:rsid w:val="005E14CD"/>
    <w:rsid w:val="00612543"/>
    <w:rsid w:val="006240C3"/>
    <w:rsid w:val="00634FA0"/>
    <w:rsid w:val="0064270E"/>
    <w:rsid w:val="0065185D"/>
    <w:rsid w:val="00665106"/>
    <w:rsid w:val="00674F95"/>
    <w:rsid w:val="00677781"/>
    <w:rsid w:val="0069354B"/>
    <w:rsid w:val="006A2C0E"/>
    <w:rsid w:val="006A51FF"/>
    <w:rsid w:val="006A7822"/>
    <w:rsid w:val="006C5908"/>
    <w:rsid w:val="006D07C3"/>
    <w:rsid w:val="006D57D6"/>
    <w:rsid w:val="006E5FFE"/>
    <w:rsid w:val="007135F1"/>
    <w:rsid w:val="007166A1"/>
    <w:rsid w:val="00722846"/>
    <w:rsid w:val="007438DF"/>
    <w:rsid w:val="00755579"/>
    <w:rsid w:val="0075780D"/>
    <w:rsid w:val="007A2E05"/>
    <w:rsid w:val="007E17BE"/>
    <w:rsid w:val="007E5967"/>
    <w:rsid w:val="00832F15"/>
    <w:rsid w:val="00833755"/>
    <w:rsid w:val="008570F2"/>
    <w:rsid w:val="00894896"/>
    <w:rsid w:val="00895CCE"/>
    <w:rsid w:val="008C762C"/>
    <w:rsid w:val="008D7828"/>
    <w:rsid w:val="008E410A"/>
    <w:rsid w:val="008F40C6"/>
    <w:rsid w:val="009043D4"/>
    <w:rsid w:val="009116C0"/>
    <w:rsid w:val="00931C58"/>
    <w:rsid w:val="0094207B"/>
    <w:rsid w:val="00974CA5"/>
    <w:rsid w:val="00986884"/>
    <w:rsid w:val="009C14AB"/>
    <w:rsid w:val="00A21089"/>
    <w:rsid w:val="00A33293"/>
    <w:rsid w:val="00A47AE8"/>
    <w:rsid w:val="00A53D92"/>
    <w:rsid w:val="00A56231"/>
    <w:rsid w:val="00A57A6C"/>
    <w:rsid w:val="00A609F4"/>
    <w:rsid w:val="00A60D73"/>
    <w:rsid w:val="00A62792"/>
    <w:rsid w:val="00A94F10"/>
    <w:rsid w:val="00AD3274"/>
    <w:rsid w:val="00AE1C2A"/>
    <w:rsid w:val="00AE3E04"/>
    <w:rsid w:val="00B02F40"/>
    <w:rsid w:val="00B06695"/>
    <w:rsid w:val="00B167F5"/>
    <w:rsid w:val="00B21675"/>
    <w:rsid w:val="00B269B2"/>
    <w:rsid w:val="00B627E1"/>
    <w:rsid w:val="00B70169"/>
    <w:rsid w:val="00B87002"/>
    <w:rsid w:val="00BA01CF"/>
    <w:rsid w:val="00BA6C42"/>
    <w:rsid w:val="00BC756E"/>
    <w:rsid w:val="00BD6F25"/>
    <w:rsid w:val="00BE7594"/>
    <w:rsid w:val="00BF634A"/>
    <w:rsid w:val="00C01A3B"/>
    <w:rsid w:val="00C04815"/>
    <w:rsid w:val="00C368EA"/>
    <w:rsid w:val="00C40E60"/>
    <w:rsid w:val="00C50D6A"/>
    <w:rsid w:val="00C51915"/>
    <w:rsid w:val="00C60965"/>
    <w:rsid w:val="00C66B1B"/>
    <w:rsid w:val="00C80E15"/>
    <w:rsid w:val="00C8698A"/>
    <w:rsid w:val="00C86AF6"/>
    <w:rsid w:val="00CB1C73"/>
    <w:rsid w:val="00D06BB3"/>
    <w:rsid w:val="00D33081"/>
    <w:rsid w:val="00D33797"/>
    <w:rsid w:val="00D4242C"/>
    <w:rsid w:val="00D424FB"/>
    <w:rsid w:val="00D54039"/>
    <w:rsid w:val="00D5547B"/>
    <w:rsid w:val="00D61444"/>
    <w:rsid w:val="00D6382B"/>
    <w:rsid w:val="00D83EB8"/>
    <w:rsid w:val="00DA6C95"/>
    <w:rsid w:val="00DB09CD"/>
    <w:rsid w:val="00DB34D9"/>
    <w:rsid w:val="00DB6FE3"/>
    <w:rsid w:val="00DC24A8"/>
    <w:rsid w:val="00DF6B70"/>
    <w:rsid w:val="00E03F8B"/>
    <w:rsid w:val="00E1340C"/>
    <w:rsid w:val="00E15932"/>
    <w:rsid w:val="00E23360"/>
    <w:rsid w:val="00E47A45"/>
    <w:rsid w:val="00E72DD8"/>
    <w:rsid w:val="00E77065"/>
    <w:rsid w:val="00E82A6E"/>
    <w:rsid w:val="00EB28D9"/>
    <w:rsid w:val="00EE494A"/>
    <w:rsid w:val="00F04C4C"/>
    <w:rsid w:val="00F062B4"/>
    <w:rsid w:val="00F11E3A"/>
    <w:rsid w:val="00F1777F"/>
    <w:rsid w:val="00F260D0"/>
    <w:rsid w:val="00F3033A"/>
    <w:rsid w:val="00F354D7"/>
    <w:rsid w:val="00F87381"/>
    <w:rsid w:val="00FA177C"/>
    <w:rsid w:val="00FC23BC"/>
    <w:rsid w:val="00FD0AF1"/>
    <w:rsid w:val="00FE0E16"/>
    <w:rsid w:val="00FE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F262A"/>
  <w15:chartTrackingRefBased/>
  <w15:docId w15:val="{74609898-ACA2-4E71-AB8E-12FC69D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8DF"/>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8DF"/>
    <w:pPr>
      <w:spacing w:line="256" w:lineRule="auto"/>
      <w:ind w:left="720"/>
      <w:contextualSpacing/>
    </w:pPr>
    <w:rPr>
      <w:lang w:val="uk-UA"/>
    </w:rPr>
  </w:style>
  <w:style w:type="paragraph" w:customStyle="1" w:styleId="a4">
    <w:name w:val="Нормальний текст"/>
    <w:basedOn w:val="a"/>
    <w:uiPriority w:val="99"/>
    <w:rsid w:val="007438DF"/>
    <w:pPr>
      <w:autoSpaceDE w:val="0"/>
      <w:autoSpaceDN w:val="0"/>
      <w:spacing w:before="120" w:after="0" w:line="240" w:lineRule="auto"/>
      <w:ind w:firstLine="567"/>
    </w:pPr>
    <w:rPr>
      <w:rFonts w:ascii="Antiqua" w:hAnsi="Antiqua" w:cs="Antiqua"/>
      <w:sz w:val="26"/>
      <w:szCs w:val="26"/>
      <w:lang w:val="uk-UA" w:eastAsia="ru-RU"/>
    </w:rPr>
  </w:style>
  <w:style w:type="paragraph" w:customStyle="1" w:styleId="rvps2">
    <w:name w:val="rvps2"/>
    <w:basedOn w:val="a"/>
    <w:rsid w:val="007438DF"/>
    <w:pPr>
      <w:spacing w:before="100" w:beforeAutospacing="1" w:after="100" w:afterAutospacing="1" w:line="240" w:lineRule="auto"/>
    </w:pPr>
    <w:rPr>
      <w:rFonts w:ascii="Times New Roman" w:hAnsi="Times New Roman"/>
      <w:sz w:val="24"/>
      <w:szCs w:val="24"/>
      <w:lang w:val="uk-UA" w:eastAsia="en-GB"/>
    </w:rPr>
  </w:style>
  <w:style w:type="character" w:styleId="a5">
    <w:name w:val="Hyperlink"/>
    <w:basedOn w:val="a0"/>
    <w:uiPriority w:val="99"/>
    <w:unhideWhenUsed/>
    <w:rsid w:val="007438DF"/>
    <w:rPr>
      <w:color w:val="0563C1" w:themeColor="hyperlink"/>
      <w:u w:val="single"/>
    </w:rPr>
  </w:style>
  <w:style w:type="character" w:customStyle="1" w:styleId="rvts0">
    <w:name w:val="rvts0"/>
    <w:uiPriority w:val="99"/>
    <w:rsid w:val="00C01A3B"/>
  </w:style>
  <w:style w:type="paragraph" w:styleId="a6">
    <w:name w:val="footnote text"/>
    <w:basedOn w:val="a"/>
    <w:link w:val="a7"/>
    <w:uiPriority w:val="99"/>
    <w:semiHidden/>
    <w:unhideWhenUsed/>
    <w:rsid w:val="008E410A"/>
    <w:pPr>
      <w:spacing w:after="0" w:line="240" w:lineRule="auto"/>
    </w:pPr>
    <w:rPr>
      <w:sz w:val="20"/>
      <w:szCs w:val="20"/>
    </w:rPr>
  </w:style>
  <w:style w:type="character" w:customStyle="1" w:styleId="a7">
    <w:name w:val="Текст виноски Знак"/>
    <w:basedOn w:val="a0"/>
    <w:link w:val="a6"/>
    <w:uiPriority w:val="99"/>
    <w:semiHidden/>
    <w:rsid w:val="008E410A"/>
    <w:rPr>
      <w:rFonts w:ascii="Calibri" w:eastAsia="Times New Roman" w:hAnsi="Calibri" w:cs="Times New Roman"/>
      <w:sz w:val="20"/>
      <w:szCs w:val="20"/>
      <w:lang w:val="ru-RU"/>
    </w:rPr>
  </w:style>
  <w:style w:type="character" w:styleId="a8">
    <w:name w:val="footnote reference"/>
    <w:basedOn w:val="a0"/>
    <w:uiPriority w:val="99"/>
    <w:semiHidden/>
    <w:unhideWhenUsed/>
    <w:rsid w:val="008E410A"/>
    <w:rPr>
      <w:vertAlign w:val="superscript"/>
    </w:rPr>
  </w:style>
  <w:style w:type="character" w:styleId="a9">
    <w:name w:val="Unresolved Mention"/>
    <w:basedOn w:val="a0"/>
    <w:uiPriority w:val="99"/>
    <w:semiHidden/>
    <w:unhideWhenUsed/>
    <w:rsid w:val="008E410A"/>
    <w:rPr>
      <w:color w:val="605E5C"/>
      <w:shd w:val="clear" w:color="auto" w:fill="E1DFDD"/>
    </w:rPr>
  </w:style>
  <w:style w:type="paragraph" w:styleId="aa">
    <w:name w:val="header"/>
    <w:basedOn w:val="a"/>
    <w:link w:val="ab"/>
    <w:uiPriority w:val="99"/>
    <w:unhideWhenUsed/>
    <w:rsid w:val="008E410A"/>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8E410A"/>
    <w:rPr>
      <w:rFonts w:ascii="Calibri" w:eastAsia="Times New Roman" w:hAnsi="Calibri" w:cs="Times New Roman"/>
      <w:lang w:val="ru-RU"/>
    </w:rPr>
  </w:style>
  <w:style w:type="paragraph" w:styleId="ac">
    <w:name w:val="footer"/>
    <w:basedOn w:val="a"/>
    <w:link w:val="ad"/>
    <w:uiPriority w:val="99"/>
    <w:unhideWhenUsed/>
    <w:rsid w:val="008E410A"/>
    <w:pPr>
      <w:tabs>
        <w:tab w:val="center" w:pos="4677"/>
        <w:tab w:val="right" w:pos="9355"/>
      </w:tabs>
      <w:spacing w:after="0" w:line="240" w:lineRule="auto"/>
    </w:pPr>
  </w:style>
  <w:style w:type="character" w:customStyle="1" w:styleId="ad">
    <w:name w:val="Нижній колонтитул Знак"/>
    <w:basedOn w:val="a0"/>
    <w:link w:val="ac"/>
    <w:uiPriority w:val="99"/>
    <w:rsid w:val="008E410A"/>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8618">
      <w:bodyDiv w:val="1"/>
      <w:marLeft w:val="0"/>
      <w:marRight w:val="0"/>
      <w:marTop w:val="0"/>
      <w:marBottom w:val="0"/>
      <w:divBdr>
        <w:top w:val="none" w:sz="0" w:space="0" w:color="auto"/>
        <w:left w:val="none" w:sz="0" w:space="0" w:color="auto"/>
        <w:bottom w:val="none" w:sz="0" w:space="0" w:color="auto"/>
        <w:right w:val="none" w:sz="0" w:space="0" w:color="auto"/>
      </w:divBdr>
    </w:div>
    <w:div w:id="229393304">
      <w:bodyDiv w:val="1"/>
      <w:marLeft w:val="0"/>
      <w:marRight w:val="0"/>
      <w:marTop w:val="0"/>
      <w:marBottom w:val="0"/>
      <w:divBdr>
        <w:top w:val="none" w:sz="0" w:space="0" w:color="auto"/>
        <w:left w:val="none" w:sz="0" w:space="0" w:color="auto"/>
        <w:bottom w:val="none" w:sz="0" w:space="0" w:color="auto"/>
        <w:right w:val="none" w:sz="0" w:space="0" w:color="auto"/>
      </w:divBdr>
    </w:div>
    <w:div w:id="556625215">
      <w:bodyDiv w:val="1"/>
      <w:marLeft w:val="0"/>
      <w:marRight w:val="0"/>
      <w:marTop w:val="0"/>
      <w:marBottom w:val="0"/>
      <w:divBdr>
        <w:top w:val="none" w:sz="0" w:space="0" w:color="auto"/>
        <w:left w:val="none" w:sz="0" w:space="0" w:color="auto"/>
        <w:bottom w:val="none" w:sz="0" w:space="0" w:color="auto"/>
        <w:right w:val="none" w:sz="0" w:space="0" w:color="auto"/>
      </w:divBdr>
    </w:div>
    <w:div w:id="887493404">
      <w:bodyDiv w:val="1"/>
      <w:marLeft w:val="0"/>
      <w:marRight w:val="0"/>
      <w:marTop w:val="0"/>
      <w:marBottom w:val="0"/>
      <w:divBdr>
        <w:top w:val="none" w:sz="0" w:space="0" w:color="auto"/>
        <w:left w:val="none" w:sz="0" w:space="0" w:color="auto"/>
        <w:bottom w:val="none" w:sz="0" w:space="0" w:color="auto"/>
        <w:right w:val="none" w:sz="0" w:space="0" w:color="auto"/>
      </w:divBdr>
      <w:divsChild>
        <w:div w:id="1590197084">
          <w:marLeft w:val="0"/>
          <w:marRight w:val="0"/>
          <w:marTop w:val="0"/>
          <w:marBottom w:val="150"/>
          <w:divBdr>
            <w:top w:val="none" w:sz="0" w:space="0" w:color="auto"/>
            <w:left w:val="none" w:sz="0" w:space="0" w:color="auto"/>
            <w:bottom w:val="none" w:sz="0" w:space="0" w:color="auto"/>
            <w:right w:val="none" w:sz="0" w:space="0" w:color="auto"/>
          </w:divBdr>
        </w:div>
      </w:divsChild>
    </w:div>
    <w:div w:id="905528309">
      <w:bodyDiv w:val="1"/>
      <w:marLeft w:val="0"/>
      <w:marRight w:val="0"/>
      <w:marTop w:val="0"/>
      <w:marBottom w:val="0"/>
      <w:divBdr>
        <w:top w:val="none" w:sz="0" w:space="0" w:color="auto"/>
        <w:left w:val="none" w:sz="0" w:space="0" w:color="auto"/>
        <w:bottom w:val="none" w:sz="0" w:space="0" w:color="auto"/>
        <w:right w:val="none" w:sz="0" w:space="0" w:color="auto"/>
      </w:divBdr>
    </w:div>
    <w:div w:id="942538919">
      <w:bodyDiv w:val="1"/>
      <w:marLeft w:val="0"/>
      <w:marRight w:val="0"/>
      <w:marTop w:val="0"/>
      <w:marBottom w:val="0"/>
      <w:divBdr>
        <w:top w:val="none" w:sz="0" w:space="0" w:color="auto"/>
        <w:left w:val="none" w:sz="0" w:space="0" w:color="auto"/>
        <w:bottom w:val="none" w:sz="0" w:space="0" w:color="auto"/>
        <w:right w:val="none" w:sz="0" w:space="0" w:color="auto"/>
      </w:divBdr>
    </w:div>
    <w:div w:id="1057240523">
      <w:bodyDiv w:val="1"/>
      <w:marLeft w:val="0"/>
      <w:marRight w:val="0"/>
      <w:marTop w:val="0"/>
      <w:marBottom w:val="0"/>
      <w:divBdr>
        <w:top w:val="none" w:sz="0" w:space="0" w:color="auto"/>
        <w:left w:val="none" w:sz="0" w:space="0" w:color="auto"/>
        <w:bottom w:val="none" w:sz="0" w:space="0" w:color="auto"/>
        <w:right w:val="none" w:sz="0" w:space="0" w:color="auto"/>
      </w:divBdr>
    </w:div>
    <w:div w:id="1130856292">
      <w:bodyDiv w:val="1"/>
      <w:marLeft w:val="0"/>
      <w:marRight w:val="0"/>
      <w:marTop w:val="0"/>
      <w:marBottom w:val="0"/>
      <w:divBdr>
        <w:top w:val="none" w:sz="0" w:space="0" w:color="auto"/>
        <w:left w:val="none" w:sz="0" w:space="0" w:color="auto"/>
        <w:bottom w:val="none" w:sz="0" w:space="0" w:color="auto"/>
        <w:right w:val="none" w:sz="0" w:space="0" w:color="auto"/>
      </w:divBdr>
    </w:div>
    <w:div w:id="1371414454">
      <w:bodyDiv w:val="1"/>
      <w:marLeft w:val="0"/>
      <w:marRight w:val="0"/>
      <w:marTop w:val="0"/>
      <w:marBottom w:val="0"/>
      <w:divBdr>
        <w:top w:val="none" w:sz="0" w:space="0" w:color="auto"/>
        <w:left w:val="none" w:sz="0" w:space="0" w:color="auto"/>
        <w:bottom w:val="none" w:sz="0" w:space="0" w:color="auto"/>
        <w:right w:val="none" w:sz="0" w:space="0" w:color="auto"/>
      </w:divBdr>
    </w:div>
    <w:div w:id="1393845101">
      <w:bodyDiv w:val="1"/>
      <w:marLeft w:val="0"/>
      <w:marRight w:val="0"/>
      <w:marTop w:val="0"/>
      <w:marBottom w:val="0"/>
      <w:divBdr>
        <w:top w:val="none" w:sz="0" w:space="0" w:color="auto"/>
        <w:left w:val="none" w:sz="0" w:space="0" w:color="auto"/>
        <w:bottom w:val="none" w:sz="0" w:space="0" w:color="auto"/>
        <w:right w:val="none" w:sz="0" w:space="0" w:color="auto"/>
      </w:divBdr>
    </w:div>
    <w:div w:id="1601139354">
      <w:bodyDiv w:val="1"/>
      <w:marLeft w:val="0"/>
      <w:marRight w:val="0"/>
      <w:marTop w:val="0"/>
      <w:marBottom w:val="0"/>
      <w:divBdr>
        <w:top w:val="none" w:sz="0" w:space="0" w:color="auto"/>
        <w:left w:val="none" w:sz="0" w:space="0" w:color="auto"/>
        <w:bottom w:val="none" w:sz="0" w:space="0" w:color="auto"/>
        <w:right w:val="none" w:sz="0" w:space="0" w:color="auto"/>
      </w:divBdr>
    </w:div>
    <w:div w:id="1660384069">
      <w:bodyDiv w:val="1"/>
      <w:marLeft w:val="0"/>
      <w:marRight w:val="0"/>
      <w:marTop w:val="0"/>
      <w:marBottom w:val="0"/>
      <w:divBdr>
        <w:top w:val="none" w:sz="0" w:space="0" w:color="auto"/>
        <w:left w:val="none" w:sz="0" w:space="0" w:color="auto"/>
        <w:bottom w:val="none" w:sz="0" w:space="0" w:color="auto"/>
        <w:right w:val="none" w:sz="0" w:space="0" w:color="auto"/>
      </w:divBdr>
    </w:div>
    <w:div w:id="1864049561">
      <w:bodyDiv w:val="1"/>
      <w:marLeft w:val="0"/>
      <w:marRight w:val="0"/>
      <w:marTop w:val="0"/>
      <w:marBottom w:val="0"/>
      <w:divBdr>
        <w:top w:val="none" w:sz="0" w:space="0" w:color="auto"/>
        <w:left w:val="none" w:sz="0" w:space="0" w:color="auto"/>
        <w:bottom w:val="none" w:sz="0" w:space="0" w:color="auto"/>
        <w:right w:val="none" w:sz="0" w:space="0" w:color="auto"/>
      </w:divBdr>
    </w:div>
    <w:div w:id="1901018893">
      <w:bodyDiv w:val="1"/>
      <w:marLeft w:val="0"/>
      <w:marRight w:val="0"/>
      <w:marTop w:val="0"/>
      <w:marBottom w:val="0"/>
      <w:divBdr>
        <w:top w:val="none" w:sz="0" w:space="0" w:color="auto"/>
        <w:left w:val="none" w:sz="0" w:space="0" w:color="auto"/>
        <w:bottom w:val="none" w:sz="0" w:space="0" w:color="auto"/>
        <w:right w:val="none" w:sz="0" w:space="0" w:color="auto"/>
      </w:divBdr>
    </w:div>
    <w:div w:id="1948807513">
      <w:bodyDiv w:val="1"/>
      <w:marLeft w:val="0"/>
      <w:marRight w:val="0"/>
      <w:marTop w:val="0"/>
      <w:marBottom w:val="0"/>
      <w:divBdr>
        <w:top w:val="none" w:sz="0" w:space="0" w:color="auto"/>
        <w:left w:val="none" w:sz="0" w:space="0" w:color="auto"/>
        <w:bottom w:val="none" w:sz="0" w:space="0" w:color="auto"/>
        <w:right w:val="none" w:sz="0" w:space="0" w:color="auto"/>
      </w:divBdr>
    </w:div>
    <w:div w:id="19923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80A5-8987-4B70-A68B-247973C1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Pages>
  <Words>3133</Words>
  <Characters>1786</Characters>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2022-02-13T11:59:00Z</dcterms:created>
  <dcterms:modified xsi:type="dcterms:W3CDTF">2026-02-19T12:57:00Z</dcterms:modified>
</cp:coreProperties>
</file>