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F60" w:rsidRPr="00F66192" w:rsidRDefault="00BF4F60" w:rsidP="00F66192">
      <w:pPr>
        <w:spacing w:after="0" w:line="240" w:lineRule="auto"/>
        <w:jc w:val="center"/>
        <w:rPr>
          <w:rFonts w:ascii="Times New Roman" w:hAnsi="Times New Roman"/>
          <w:b/>
          <w:sz w:val="28"/>
          <w:szCs w:val="28"/>
          <w:lang w:val="uk-UA"/>
        </w:rPr>
      </w:pPr>
      <w:r w:rsidRPr="00F66192">
        <w:rPr>
          <w:rFonts w:ascii="Times New Roman" w:hAnsi="Times New Roman"/>
          <w:b/>
          <w:sz w:val="28"/>
          <w:szCs w:val="28"/>
          <w:lang w:val="uk-UA"/>
        </w:rPr>
        <w:t>ПОЯСНЮВАЛЬНА ЗАПИСКА</w:t>
      </w:r>
    </w:p>
    <w:p w:rsidR="002B40B6" w:rsidRPr="00F66192" w:rsidRDefault="00BF4F60" w:rsidP="00F66192">
      <w:pPr>
        <w:spacing w:after="0" w:line="240" w:lineRule="auto"/>
        <w:jc w:val="center"/>
        <w:rPr>
          <w:rFonts w:ascii="Times New Roman" w:hAnsi="Times New Roman"/>
          <w:b/>
          <w:sz w:val="28"/>
          <w:szCs w:val="28"/>
          <w:lang w:val="uk-UA"/>
        </w:rPr>
      </w:pPr>
      <w:r w:rsidRPr="00F66192">
        <w:rPr>
          <w:rFonts w:ascii="Times New Roman" w:hAnsi="Times New Roman"/>
          <w:b/>
          <w:sz w:val="28"/>
          <w:szCs w:val="28"/>
          <w:lang w:val="uk-UA"/>
        </w:rPr>
        <w:t xml:space="preserve">до </w:t>
      </w:r>
      <w:proofErr w:type="spellStart"/>
      <w:r w:rsidRPr="00F66192">
        <w:rPr>
          <w:rFonts w:ascii="Times New Roman" w:hAnsi="Times New Roman"/>
          <w:b/>
          <w:sz w:val="28"/>
          <w:szCs w:val="28"/>
          <w:lang w:val="uk-UA"/>
        </w:rPr>
        <w:t>про</w:t>
      </w:r>
      <w:r w:rsidR="004A667C">
        <w:rPr>
          <w:rFonts w:ascii="Times New Roman" w:hAnsi="Times New Roman"/>
          <w:b/>
          <w:sz w:val="28"/>
          <w:szCs w:val="28"/>
          <w:lang w:val="uk-UA"/>
        </w:rPr>
        <w:t>є</w:t>
      </w:r>
      <w:r w:rsidRPr="00F66192">
        <w:rPr>
          <w:rFonts w:ascii="Times New Roman" w:hAnsi="Times New Roman"/>
          <w:b/>
          <w:sz w:val="28"/>
          <w:szCs w:val="28"/>
          <w:lang w:val="uk-UA"/>
        </w:rPr>
        <w:t>кту</w:t>
      </w:r>
      <w:proofErr w:type="spellEnd"/>
      <w:r w:rsidRPr="00F66192">
        <w:rPr>
          <w:rFonts w:ascii="Times New Roman" w:hAnsi="Times New Roman"/>
          <w:b/>
          <w:sz w:val="28"/>
          <w:szCs w:val="28"/>
          <w:lang w:val="uk-UA"/>
        </w:rPr>
        <w:t xml:space="preserve"> </w:t>
      </w:r>
      <w:r w:rsidR="00442A50" w:rsidRPr="00F66192">
        <w:rPr>
          <w:rFonts w:ascii="Times New Roman" w:hAnsi="Times New Roman"/>
          <w:b/>
          <w:sz w:val="28"/>
          <w:szCs w:val="28"/>
          <w:lang w:val="uk-UA"/>
        </w:rPr>
        <w:t xml:space="preserve">Закону </w:t>
      </w:r>
      <w:r w:rsidRPr="00F66192">
        <w:rPr>
          <w:rFonts w:ascii="Times New Roman" w:hAnsi="Times New Roman"/>
          <w:b/>
          <w:sz w:val="28"/>
          <w:szCs w:val="28"/>
          <w:lang w:val="uk-UA"/>
        </w:rPr>
        <w:t>України</w:t>
      </w:r>
    </w:p>
    <w:p w:rsidR="00BF4F60" w:rsidRPr="00F66192" w:rsidRDefault="00BF4F60" w:rsidP="00F66192">
      <w:pPr>
        <w:spacing w:after="0" w:line="240" w:lineRule="auto"/>
        <w:jc w:val="center"/>
        <w:rPr>
          <w:rFonts w:ascii="Times New Roman" w:hAnsi="Times New Roman"/>
          <w:b/>
          <w:sz w:val="28"/>
          <w:szCs w:val="28"/>
          <w:lang w:val="uk-UA"/>
        </w:rPr>
      </w:pPr>
      <w:r w:rsidRPr="00F66192">
        <w:rPr>
          <w:rFonts w:ascii="Times New Roman" w:hAnsi="Times New Roman"/>
          <w:b/>
          <w:sz w:val="28"/>
          <w:szCs w:val="28"/>
          <w:lang w:val="uk-UA"/>
        </w:rPr>
        <w:t xml:space="preserve">«Про приєднання України до Схеми сортової сертифікації насіння </w:t>
      </w:r>
      <w:proofErr w:type="spellStart"/>
      <w:r w:rsidRPr="00F66192">
        <w:rPr>
          <w:rFonts w:ascii="Times New Roman" w:hAnsi="Times New Roman"/>
          <w:b/>
          <w:sz w:val="28"/>
          <w:szCs w:val="28"/>
          <w:lang w:val="uk-UA"/>
        </w:rPr>
        <w:t>хрестоцвітних</w:t>
      </w:r>
      <w:proofErr w:type="spellEnd"/>
      <w:r w:rsidRPr="00F66192">
        <w:rPr>
          <w:rFonts w:ascii="Times New Roman" w:hAnsi="Times New Roman"/>
          <w:b/>
          <w:sz w:val="28"/>
          <w:szCs w:val="28"/>
          <w:lang w:val="uk-UA"/>
        </w:rPr>
        <w:t xml:space="preserve"> та інших олійних або прядивних культур та Схеми сортової сертифікації насіння цукрового та кормового буряка Організації економічного співробітництва та розвитку»</w:t>
      </w:r>
    </w:p>
    <w:p w:rsidR="002B40B6" w:rsidRPr="00F66192" w:rsidRDefault="002B40B6" w:rsidP="00F66192">
      <w:pPr>
        <w:spacing w:after="0" w:line="240" w:lineRule="auto"/>
        <w:ind w:firstLine="709"/>
        <w:jc w:val="both"/>
        <w:rPr>
          <w:rFonts w:ascii="Times New Roman" w:hAnsi="Times New Roman"/>
          <w:b/>
          <w:sz w:val="28"/>
          <w:szCs w:val="28"/>
          <w:lang w:val="uk-UA"/>
        </w:rPr>
      </w:pPr>
    </w:p>
    <w:p w:rsidR="002B40B6" w:rsidRPr="00F66192" w:rsidRDefault="00772674" w:rsidP="00F66192">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1. Резюме</w:t>
      </w:r>
    </w:p>
    <w:p w:rsidR="00BF4F60" w:rsidRPr="001F070A" w:rsidRDefault="004A667C" w:rsidP="001F070A">
      <w:pPr>
        <w:spacing w:after="0" w:line="240" w:lineRule="auto"/>
        <w:ind w:firstLine="709"/>
        <w:jc w:val="both"/>
        <w:rPr>
          <w:rFonts w:ascii="Times New Roman" w:hAnsi="Times New Roman"/>
          <w:sz w:val="28"/>
          <w:szCs w:val="28"/>
          <w:lang w:val="uk-UA"/>
        </w:rPr>
      </w:pPr>
      <w:r w:rsidRPr="001F070A">
        <w:rPr>
          <w:rFonts w:ascii="Times New Roman" w:hAnsi="Times New Roman"/>
          <w:sz w:val="28"/>
          <w:szCs w:val="28"/>
          <w:lang w:val="uk-UA"/>
        </w:rPr>
        <w:t xml:space="preserve">Метою прийняття </w:t>
      </w:r>
      <w:proofErr w:type="spellStart"/>
      <w:r w:rsidRPr="001F070A">
        <w:rPr>
          <w:rFonts w:ascii="Times New Roman" w:hAnsi="Times New Roman"/>
          <w:sz w:val="28"/>
          <w:szCs w:val="28"/>
          <w:lang w:val="uk-UA"/>
        </w:rPr>
        <w:t>проє</w:t>
      </w:r>
      <w:r w:rsidR="002B40B6" w:rsidRPr="001F070A">
        <w:rPr>
          <w:rFonts w:ascii="Times New Roman" w:hAnsi="Times New Roman"/>
          <w:sz w:val="28"/>
          <w:szCs w:val="28"/>
          <w:lang w:val="uk-UA"/>
        </w:rPr>
        <w:t>кту</w:t>
      </w:r>
      <w:proofErr w:type="spellEnd"/>
      <w:r w:rsidR="002B40B6" w:rsidRPr="001F070A">
        <w:rPr>
          <w:rFonts w:ascii="Times New Roman" w:hAnsi="Times New Roman"/>
          <w:sz w:val="28"/>
          <w:szCs w:val="28"/>
          <w:lang w:val="uk-UA"/>
        </w:rPr>
        <w:t xml:space="preserve"> Закону України «Про приєднання України до Схеми сортової сертифікації насіння </w:t>
      </w:r>
      <w:proofErr w:type="spellStart"/>
      <w:r w:rsidR="002B40B6" w:rsidRPr="001F070A">
        <w:rPr>
          <w:rFonts w:ascii="Times New Roman" w:hAnsi="Times New Roman"/>
          <w:sz w:val="28"/>
          <w:szCs w:val="28"/>
          <w:lang w:val="uk-UA"/>
        </w:rPr>
        <w:t>хрестоцвітних</w:t>
      </w:r>
      <w:proofErr w:type="spellEnd"/>
      <w:r w:rsidR="002B40B6" w:rsidRPr="001F070A">
        <w:rPr>
          <w:rFonts w:ascii="Times New Roman" w:hAnsi="Times New Roman"/>
          <w:sz w:val="28"/>
          <w:szCs w:val="28"/>
          <w:lang w:val="uk-UA"/>
        </w:rPr>
        <w:t xml:space="preserve"> та інших олійних або прядивних культур та Схеми сортової сертифікації насіння цукрового та кормового буряка Організації економічного співробітництва та розвитку» (далі – проект Закону) є </w:t>
      </w:r>
      <w:r w:rsidR="00BF4F60" w:rsidRPr="001F070A">
        <w:rPr>
          <w:rFonts w:ascii="Times New Roman" w:hAnsi="Times New Roman"/>
          <w:sz w:val="28"/>
          <w:szCs w:val="28"/>
          <w:lang w:val="uk-UA"/>
        </w:rPr>
        <w:t>правове врегулювання питання про приєднання до Схеми сортової сертифікації насіння, призначеного для міжнародної торгівлі.</w:t>
      </w:r>
    </w:p>
    <w:p w:rsidR="001F070A" w:rsidRPr="001F070A" w:rsidRDefault="001F070A" w:rsidP="001F070A">
      <w:pPr>
        <w:spacing w:after="0" w:line="240" w:lineRule="auto"/>
        <w:ind w:firstLine="709"/>
        <w:jc w:val="both"/>
        <w:rPr>
          <w:rFonts w:ascii="Times New Roman" w:hAnsi="Times New Roman"/>
          <w:sz w:val="28"/>
          <w:szCs w:val="28"/>
          <w:lang w:val="uk-UA"/>
        </w:rPr>
      </w:pPr>
      <w:r w:rsidRPr="001F070A">
        <w:rPr>
          <w:rFonts w:ascii="Times New Roman" w:hAnsi="Times New Roman"/>
          <w:sz w:val="28"/>
          <w:szCs w:val="28"/>
          <w:lang w:val="uk-UA"/>
        </w:rPr>
        <w:t>Здійснення сортової сертифікації насіння за схемами ОЕСР забезпечить:</w:t>
      </w:r>
    </w:p>
    <w:p w:rsidR="001F070A" w:rsidRPr="001F070A" w:rsidRDefault="001F070A" w:rsidP="001F070A">
      <w:pPr>
        <w:spacing w:after="0" w:line="240" w:lineRule="auto"/>
        <w:ind w:firstLine="709"/>
        <w:jc w:val="both"/>
        <w:rPr>
          <w:rFonts w:ascii="Times New Roman" w:hAnsi="Times New Roman"/>
          <w:sz w:val="28"/>
          <w:szCs w:val="28"/>
          <w:lang w:val="uk-UA"/>
        </w:rPr>
      </w:pPr>
      <w:r w:rsidRPr="001F070A">
        <w:rPr>
          <w:rFonts w:ascii="Times New Roman" w:hAnsi="Times New Roman"/>
          <w:sz w:val="28"/>
          <w:szCs w:val="28"/>
          <w:lang w:val="uk-UA"/>
        </w:rPr>
        <w:t>на внутрішньому ринку – підвищення сортової чистоти вітчизняного насіннєвого матеріалу та зростання урожайності;</w:t>
      </w:r>
    </w:p>
    <w:p w:rsidR="001F070A" w:rsidRPr="001F070A" w:rsidRDefault="001F070A" w:rsidP="001F070A">
      <w:pPr>
        <w:spacing w:after="0" w:line="240" w:lineRule="auto"/>
        <w:ind w:firstLine="709"/>
        <w:jc w:val="both"/>
        <w:rPr>
          <w:rFonts w:ascii="Times New Roman" w:hAnsi="Times New Roman"/>
          <w:sz w:val="28"/>
          <w:szCs w:val="28"/>
          <w:lang w:val="uk-UA"/>
        </w:rPr>
      </w:pPr>
      <w:r w:rsidRPr="001F070A">
        <w:rPr>
          <w:rFonts w:ascii="Times New Roman" w:hAnsi="Times New Roman"/>
          <w:sz w:val="28"/>
          <w:szCs w:val="28"/>
          <w:lang w:val="uk-UA"/>
        </w:rPr>
        <w:t>на зовнішньому ринку – задоволення експортного попиту та відкриття ринків нових країн.</w:t>
      </w:r>
    </w:p>
    <w:p w:rsidR="001F070A" w:rsidRPr="00F66192" w:rsidRDefault="001F070A" w:rsidP="00F66192">
      <w:pPr>
        <w:spacing w:after="0" w:line="240" w:lineRule="auto"/>
        <w:ind w:firstLine="709"/>
        <w:jc w:val="both"/>
        <w:rPr>
          <w:rFonts w:ascii="Times New Roman" w:hAnsi="Times New Roman"/>
          <w:sz w:val="28"/>
          <w:szCs w:val="28"/>
          <w:lang w:val="uk-UA"/>
        </w:rPr>
      </w:pPr>
    </w:p>
    <w:p w:rsidR="00BF4F60" w:rsidRPr="00F66192" w:rsidRDefault="002B40B6" w:rsidP="00F66192">
      <w:pPr>
        <w:spacing w:after="0" w:line="240" w:lineRule="auto"/>
        <w:ind w:firstLine="709"/>
        <w:jc w:val="both"/>
        <w:rPr>
          <w:rFonts w:ascii="Times New Roman" w:hAnsi="Times New Roman"/>
          <w:b/>
          <w:sz w:val="28"/>
          <w:szCs w:val="28"/>
          <w:lang w:val="uk-UA"/>
        </w:rPr>
      </w:pPr>
      <w:r w:rsidRPr="00F66192">
        <w:rPr>
          <w:rFonts w:ascii="Times New Roman" w:hAnsi="Times New Roman"/>
          <w:b/>
          <w:sz w:val="28"/>
          <w:szCs w:val="28"/>
          <w:lang w:val="uk-UA"/>
        </w:rPr>
        <w:t xml:space="preserve">2. Проблема, яка потребує розв’язання </w:t>
      </w:r>
    </w:p>
    <w:p w:rsidR="00515ADB" w:rsidRPr="00F66192" w:rsidRDefault="00515ADB" w:rsidP="00F66192">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У листопаді 2009 року, відповідно до рішення Ради Організації економічного співробітництва та розвитку, Україна приєдналася до діючих Насіннєвих схем сортової сертифікації Організації економічного співробітництва та розвитку (далі – Насіннєві схеми ОЕСР), зокрема до Схем по зерновим, кукурудзі та сорго. Приєднання до Насіннєвих схем ОЕСР Україна здійснила шляхом прийняття Закону України від 15 лютого 2011 року № 3019-IV «Про приєднання України до Схеми сортової сертифікації насіння зернових культур, Схеми сортової сертифікації насіння кукурудзи та сорго Організації економічного співробітництва та розвитку».</w:t>
      </w:r>
    </w:p>
    <w:p w:rsidR="00515ADB" w:rsidRPr="00F66192" w:rsidRDefault="00515ADB" w:rsidP="00F66192">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 xml:space="preserve">Згідно з Рішеннями Секретаріату ОЕСР від 19 грудня 2014 року № С (2014) 154 Україна розширила участь у Схемах сортової сертифікації насіння ОЕСР, призначеного для міжнародної торгівлі, зокрема у Схемі по </w:t>
      </w:r>
      <w:proofErr w:type="spellStart"/>
      <w:r w:rsidRPr="00F66192">
        <w:rPr>
          <w:rFonts w:ascii="Times New Roman" w:hAnsi="Times New Roman"/>
          <w:sz w:val="28"/>
          <w:szCs w:val="28"/>
          <w:lang w:val="uk-UA"/>
        </w:rPr>
        <w:t>хрестоцвітних</w:t>
      </w:r>
      <w:proofErr w:type="spellEnd"/>
      <w:r w:rsidRPr="00F66192">
        <w:rPr>
          <w:rFonts w:ascii="Times New Roman" w:hAnsi="Times New Roman"/>
          <w:sz w:val="28"/>
          <w:szCs w:val="28"/>
          <w:lang w:val="uk-UA"/>
        </w:rPr>
        <w:t xml:space="preserve"> та інших олійних або прядивних культурах та у Схемі по цукровому та кормову буряках від 22 грудня 2017 року № С (2017) 143.</w:t>
      </w:r>
    </w:p>
    <w:p w:rsidR="00515ADB" w:rsidRPr="00F66192" w:rsidRDefault="00515ADB" w:rsidP="00F66192">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Для рівноправного партнерства на світовому ринку насіння цих сільськогосподарських культур, Україна, шляхом пр</w:t>
      </w:r>
      <w:r w:rsidR="004A667C">
        <w:rPr>
          <w:rFonts w:ascii="Times New Roman" w:hAnsi="Times New Roman"/>
          <w:sz w:val="28"/>
          <w:szCs w:val="28"/>
          <w:lang w:val="uk-UA"/>
        </w:rPr>
        <w:t xml:space="preserve">ийняття </w:t>
      </w:r>
      <w:proofErr w:type="spellStart"/>
      <w:r w:rsidR="004A667C">
        <w:rPr>
          <w:rFonts w:ascii="Times New Roman" w:hAnsi="Times New Roman"/>
          <w:sz w:val="28"/>
          <w:szCs w:val="28"/>
          <w:lang w:val="uk-UA"/>
        </w:rPr>
        <w:t>проє</w:t>
      </w:r>
      <w:r w:rsidRPr="00F66192">
        <w:rPr>
          <w:rFonts w:ascii="Times New Roman" w:hAnsi="Times New Roman"/>
          <w:sz w:val="28"/>
          <w:szCs w:val="28"/>
          <w:lang w:val="uk-UA"/>
        </w:rPr>
        <w:t>кту</w:t>
      </w:r>
      <w:proofErr w:type="spellEnd"/>
      <w:r w:rsidRPr="00F66192">
        <w:rPr>
          <w:rFonts w:ascii="Times New Roman" w:hAnsi="Times New Roman"/>
          <w:sz w:val="28"/>
          <w:szCs w:val="28"/>
          <w:lang w:val="uk-UA"/>
        </w:rPr>
        <w:t xml:space="preserve"> Закону, забезпечить приєднання країни до відповідних Схем сортової сертифікації насіння.</w:t>
      </w:r>
    </w:p>
    <w:p w:rsidR="00BF4F60" w:rsidRPr="00F66192" w:rsidRDefault="00BF4F60" w:rsidP="00F66192">
      <w:pPr>
        <w:spacing w:after="0" w:line="240" w:lineRule="auto"/>
        <w:ind w:firstLine="709"/>
        <w:jc w:val="both"/>
        <w:rPr>
          <w:rFonts w:ascii="Times New Roman" w:hAnsi="Times New Roman"/>
          <w:sz w:val="28"/>
          <w:szCs w:val="28"/>
          <w:lang w:val="uk-UA"/>
        </w:rPr>
      </w:pPr>
    </w:p>
    <w:p w:rsidR="004253C3" w:rsidRPr="00F66192" w:rsidRDefault="004253C3" w:rsidP="00F66192">
      <w:pPr>
        <w:spacing w:after="0" w:line="240" w:lineRule="auto"/>
        <w:ind w:firstLine="709"/>
        <w:jc w:val="both"/>
        <w:rPr>
          <w:rFonts w:ascii="Times New Roman" w:hAnsi="Times New Roman"/>
          <w:b/>
          <w:sz w:val="28"/>
          <w:szCs w:val="28"/>
          <w:lang w:val="uk-UA"/>
        </w:rPr>
      </w:pPr>
      <w:r w:rsidRPr="00F66192">
        <w:rPr>
          <w:rFonts w:ascii="Times New Roman" w:hAnsi="Times New Roman"/>
          <w:b/>
          <w:sz w:val="28"/>
          <w:szCs w:val="28"/>
          <w:lang w:val="uk-UA"/>
        </w:rPr>
        <w:t xml:space="preserve">3. Суть </w:t>
      </w:r>
      <w:proofErr w:type="spellStart"/>
      <w:r w:rsidRPr="00F66192">
        <w:rPr>
          <w:rFonts w:ascii="Times New Roman" w:hAnsi="Times New Roman"/>
          <w:b/>
          <w:sz w:val="28"/>
          <w:szCs w:val="28"/>
          <w:lang w:val="uk-UA"/>
        </w:rPr>
        <w:t>про</w:t>
      </w:r>
      <w:r w:rsidR="004A667C">
        <w:rPr>
          <w:rFonts w:ascii="Times New Roman" w:hAnsi="Times New Roman"/>
          <w:b/>
          <w:sz w:val="28"/>
          <w:szCs w:val="28"/>
          <w:lang w:val="uk-UA"/>
        </w:rPr>
        <w:t>є</w:t>
      </w:r>
      <w:r w:rsidRPr="00F66192">
        <w:rPr>
          <w:rFonts w:ascii="Times New Roman" w:hAnsi="Times New Roman"/>
          <w:b/>
          <w:sz w:val="28"/>
          <w:szCs w:val="28"/>
          <w:lang w:val="uk-UA"/>
        </w:rPr>
        <w:t>кту</w:t>
      </w:r>
      <w:proofErr w:type="spellEnd"/>
      <w:r w:rsidRPr="00F66192">
        <w:rPr>
          <w:rFonts w:ascii="Times New Roman" w:hAnsi="Times New Roman"/>
          <w:b/>
          <w:sz w:val="28"/>
          <w:szCs w:val="28"/>
          <w:lang w:val="uk-UA"/>
        </w:rPr>
        <w:t xml:space="preserve"> </w:t>
      </w:r>
      <w:proofErr w:type="spellStart"/>
      <w:r w:rsidRPr="00F66192">
        <w:rPr>
          <w:rFonts w:ascii="Times New Roman" w:hAnsi="Times New Roman"/>
          <w:b/>
          <w:sz w:val="28"/>
          <w:szCs w:val="28"/>
          <w:lang w:val="uk-UA"/>
        </w:rPr>
        <w:t>акта</w:t>
      </w:r>
      <w:proofErr w:type="spellEnd"/>
      <w:r w:rsidRPr="00F66192">
        <w:rPr>
          <w:rFonts w:ascii="Times New Roman" w:hAnsi="Times New Roman"/>
          <w:b/>
          <w:sz w:val="28"/>
          <w:szCs w:val="28"/>
          <w:lang w:val="uk-UA"/>
        </w:rPr>
        <w:t xml:space="preserve"> </w:t>
      </w:r>
    </w:p>
    <w:p w:rsidR="004253C3" w:rsidRPr="00F66192" w:rsidRDefault="004253C3" w:rsidP="00F66192">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 xml:space="preserve">Проект Закону врегулює питання про приєднання України до Схеми сортової сертифікації насіння </w:t>
      </w:r>
      <w:proofErr w:type="spellStart"/>
      <w:r w:rsidRPr="00F66192">
        <w:rPr>
          <w:rFonts w:ascii="Times New Roman" w:hAnsi="Times New Roman"/>
          <w:sz w:val="28"/>
          <w:szCs w:val="28"/>
          <w:lang w:val="uk-UA"/>
        </w:rPr>
        <w:t>хрестоцвітних</w:t>
      </w:r>
      <w:proofErr w:type="spellEnd"/>
      <w:r w:rsidRPr="00F66192">
        <w:rPr>
          <w:rFonts w:ascii="Times New Roman" w:hAnsi="Times New Roman"/>
          <w:sz w:val="28"/>
          <w:szCs w:val="28"/>
          <w:lang w:val="uk-UA"/>
        </w:rPr>
        <w:t xml:space="preserve"> та інших олійних або прядивних </w:t>
      </w:r>
      <w:r w:rsidRPr="00F66192">
        <w:rPr>
          <w:rFonts w:ascii="Times New Roman" w:hAnsi="Times New Roman"/>
          <w:sz w:val="28"/>
          <w:szCs w:val="28"/>
          <w:lang w:val="uk-UA"/>
        </w:rPr>
        <w:lastRenderedPageBreak/>
        <w:t>культур та Схеми сортової сертифікації насіння цукрового та кормового буряка ОЕСР, призначеного для міжнародної торгівлі.</w:t>
      </w:r>
    </w:p>
    <w:p w:rsidR="004253C3" w:rsidRPr="00F66192" w:rsidRDefault="004253C3" w:rsidP="00F66192">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 xml:space="preserve">Кожна Насіннєва схема ОЕСР включає в себе ряд Правил та положень, метою яких є забезпечення сортової сертифікації насіння. </w:t>
      </w:r>
    </w:p>
    <w:p w:rsidR="004253C3" w:rsidRPr="00F66192" w:rsidRDefault="004253C3" w:rsidP="00F66192">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 xml:space="preserve">Україна зобов’язана забезпечити їх чітке дотримання, зокрема: вимог до виробництва базового та сертифікованого насіння згідно зі Насіннєвими </w:t>
      </w:r>
      <w:r w:rsidR="002543E9">
        <w:rPr>
          <w:rFonts w:ascii="Times New Roman" w:hAnsi="Times New Roman"/>
          <w:sz w:val="28"/>
          <w:szCs w:val="28"/>
          <w:lang w:val="uk-UA"/>
        </w:rPr>
        <w:t xml:space="preserve">               </w:t>
      </w:r>
      <w:r w:rsidRPr="00F66192">
        <w:rPr>
          <w:rFonts w:ascii="Times New Roman" w:hAnsi="Times New Roman"/>
          <w:sz w:val="28"/>
          <w:szCs w:val="28"/>
          <w:lang w:val="uk-UA"/>
        </w:rPr>
        <w:t xml:space="preserve">схемами, польового інспектування насіннєвих посівів, розміру партій насіння, маркування та видачі єдиних сортових документів, які визнається 60-ма </w:t>
      </w:r>
      <w:r w:rsidR="002543E9">
        <w:rPr>
          <w:rFonts w:ascii="Times New Roman" w:hAnsi="Times New Roman"/>
          <w:sz w:val="28"/>
          <w:szCs w:val="28"/>
          <w:lang w:val="uk-UA"/>
        </w:rPr>
        <w:t xml:space="preserve">                   </w:t>
      </w:r>
      <w:r w:rsidRPr="00F66192">
        <w:rPr>
          <w:rFonts w:ascii="Times New Roman" w:hAnsi="Times New Roman"/>
          <w:sz w:val="28"/>
          <w:szCs w:val="28"/>
          <w:lang w:val="uk-UA"/>
        </w:rPr>
        <w:t>країнами-учасниками Насіннєвих схем ОЕСР.</w:t>
      </w:r>
    </w:p>
    <w:p w:rsidR="00515ADB" w:rsidRPr="00F66192" w:rsidRDefault="00515ADB" w:rsidP="00F66192">
      <w:pPr>
        <w:spacing w:after="0" w:line="240" w:lineRule="auto"/>
        <w:ind w:firstLine="709"/>
        <w:rPr>
          <w:rFonts w:ascii="Times New Roman" w:hAnsi="Times New Roman"/>
          <w:sz w:val="28"/>
          <w:szCs w:val="28"/>
          <w:lang w:val="uk-UA"/>
        </w:rPr>
      </w:pPr>
    </w:p>
    <w:p w:rsidR="00515ADB" w:rsidRPr="00F66192" w:rsidRDefault="00515ADB" w:rsidP="00F66192">
      <w:pPr>
        <w:spacing w:after="0" w:line="240" w:lineRule="auto"/>
        <w:ind w:firstLine="709"/>
        <w:rPr>
          <w:rFonts w:ascii="Times New Roman" w:hAnsi="Times New Roman"/>
          <w:b/>
          <w:sz w:val="28"/>
          <w:szCs w:val="28"/>
          <w:lang w:val="uk-UA"/>
        </w:rPr>
      </w:pPr>
      <w:r w:rsidRPr="00F66192">
        <w:rPr>
          <w:rFonts w:ascii="Times New Roman" w:hAnsi="Times New Roman"/>
          <w:b/>
          <w:sz w:val="28"/>
          <w:szCs w:val="28"/>
          <w:lang w:val="uk-UA"/>
        </w:rPr>
        <w:t>4. Вплив на бюджет</w:t>
      </w:r>
    </w:p>
    <w:p w:rsidR="00515ADB" w:rsidRPr="00F66192" w:rsidRDefault="00515ADB" w:rsidP="004A667C">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 xml:space="preserve">Реалізація </w:t>
      </w:r>
      <w:proofErr w:type="spellStart"/>
      <w:r w:rsidRPr="00F66192">
        <w:rPr>
          <w:rFonts w:ascii="Times New Roman" w:hAnsi="Times New Roman"/>
          <w:sz w:val="28"/>
          <w:szCs w:val="28"/>
          <w:lang w:val="uk-UA"/>
        </w:rPr>
        <w:t>проєкту</w:t>
      </w:r>
      <w:proofErr w:type="spellEnd"/>
      <w:r w:rsidRPr="00F66192">
        <w:rPr>
          <w:rFonts w:ascii="Times New Roman" w:hAnsi="Times New Roman"/>
          <w:sz w:val="28"/>
          <w:szCs w:val="28"/>
          <w:lang w:val="uk-UA"/>
        </w:rPr>
        <w:t xml:space="preserve"> Закону не потребуватиме додаткових фінансових витрат з Державного бюджету України.</w:t>
      </w:r>
    </w:p>
    <w:p w:rsidR="004253C3" w:rsidRPr="00F66192" w:rsidRDefault="004253C3" w:rsidP="004A667C">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 xml:space="preserve">Водночас, крім взятих на себе зобов’язань слідувати основним положенням правил та директив ЄС, забезпечувати їх застосування компетентними органами, Україна має сплачувати щорічний членський внесок, сума якого щорічно визначається Секретаріатом ОЕСР та надсилається уповноваженому органу із сертифікації насіння. </w:t>
      </w:r>
    </w:p>
    <w:p w:rsidR="004253C3" w:rsidRPr="00F66192" w:rsidRDefault="004253C3" w:rsidP="004A667C">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Сума членського внеску не залежить від кількості Схем сортової сертифікації, до яких приєдналася Україна, та складається з таких двох складових:</w:t>
      </w:r>
    </w:p>
    <w:p w:rsidR="004253C3" w:rsidRPr="00F66192" w:rsidRDefault="004253C3" w:rsidP="00F66192">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 базовий збір у сумі 2 700 Євро;</w:t>
      </w:r>
    </w:p>
    <w:p w:rsidR="004253C3" w:rsidRPr="00F66192" w:rsidRDefault="004253C3" w:rsidP="00F66192">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 додаткова сума, що застосовується до кожної держави-учасниці Насіннєвої схеми ОЕСР (що є або не є Членами ОЕСР) відповідно до критерію, визначеного Рішенням Ради C (63) 155 (</w:t>
      </w:r>
      <w:proofErr w:type="spellStart"/>
      <w:r w:rsidRPr="00F66192">
        <w:rPr>
          <w:rFonts w:ascii="Times New Roman" w:hAnsi="Times New Roman"/>
          <w:sz w:val="28"/>
          <w:szCs w:val="28"/>
          <w:lang w:val="uk-UA"/>
        </w:rPr>
        <w:t>Final</w:t>
      </w:r>
      <w:proofErr w:type="spellEnd"/>
      <w:r w:rsidRPr="00F66192">
        <w:rPr>
          <w:rFonts w:ascii="Times New Roman" w:hAnsi="Times New Roman"/>
          <w:sz w:val="28"/>
          <w:szCs w:val="28"/>
          <w:lang w:val="uk-UA"/>
        </w:rPr>
        <w:t>) з поправками.</w:t>
      </w:r>
    </w:p>
    <w:p w:rsidR="004253C3" w:rsidRPr="00F66192" w:rsidRDefault="004253C3" w:rsidP="00F66192">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 xml:space="preserve">Так, загальна сума членського внеску для України у 2017 році становила 3 381 Євро, у 2018 – 3 189 Євро, у 2019 – 3 179 Євро. </w:t>
      </w:r>
    </w:p>
    <w:p w:rsidR="004253C3" w:rsidRPr="00F66192" w:rsidRDefault="004253C3" w:rsidP="00F66192">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На сьогодні установою, яка виконує функції уповноваженого органу                  із сертифікації насіння та відповідає за впровадження насіннєвих Схем ОЕСР,                  в Україні визначено державне підприємство «Державний центр сертифікації і експертизи сільськогосподарської продукції», про що поінформовано Секретаріат ОЕСР.</w:t>
      </w:r>
    </w:p>
    <w:p w:rsidR="004253C3" w:rsidRPr="00F66192" w:rsidRDefault="004253C3" w:rsidP="00F66192">
      <w:pPr>
        <w:spacing w:after="0" w:line="240" w:lineRule="auto"/>
        <w:ind w:firstLine="709"/>
        <w:jc w:val="both"/>
        <w:rPr>
          <w:rFonts w:ascii="Times New Roman" w:hAnsi="Times New Roman"/>
          <w:sz w:val="28"/>
          <w:szCs w:val="28"/>
          <w:lang w:val="uk-UA"/>
        </w:rPr>
      </w:pPr>
      <w:r w:rsidRPr="00F66192">
        <w:rPr>
          <w:rFonts w:ascii="Times New Roman" w:hAnsi="Times New Roman"/>
          <w:sz w:val="28"/>
          <w:szCs w:val="28"/>
          <w:lang w:val="uk-UA"/>
        </w:rPr>
        <w:t>Сплата членських внесків здійснюється державним підприємством за рахунок коштів, отриманих від надання на договірних засадах платних послуг у сфері сертифікації насіння та садивного матеріалу.</w:t>
      </w:r>
    </w:p>
    <w:p w:rsidR="006A77B5" w:rsidRPr="003B3245" w:rsidRDefault="006A77B5" w:rsidP="00F66192">
      <w:pPr>
        <w:tabs>
          <w:tab w:val="left" w:pos="709"/>
        </w:tabs>
        <w:spacing w:after="0" w:line="240" w:lineRule="auto"/>
        <w:ind w:firstLine="709"/>
        <w:rPr>
          <w:rFonts w:ascii="Times New Roman" w:hAnsi="Times New Roman"/>
          <w:sz w:val="28"/>
          <w:szCs w:val="28"/>
          <w:lang w:val="uk-UA"/>
        </w:rPr>
      </w:pPr>
    </w:p>
    <w:p w:rsidR="000D2302" w:rsidRDefault="000D2302" w:rsidP="003B3245">
      <w:pPr>
        <w:tabs>
          <w:tab w:val="left" w:pos="709"/>
        </w:tabs>
        <w:spacing w:after="0" w:line="240" w:lineRule="auto"/>
        <w:ind w:firstLine="709"/>
        <w:jc w:val="both"/>
        <w:rPr>
          <w:rFonts w:ascii="Times New Roman" w:hAnsi="Times New Roman"/>
          <w:b/>
          <w:sz w:val="28"/>
          <w:szCs w:val="28"/>
          <w:lang w:val="uk-UA"/>
        </w:rPr>
      </w:pPr>
      <w:r w:rsidRPr="003B3245">
        <w:rPr>
          <w:rFonts w:ascii="Times New Roman" w:hAnsi="Times New Roman"/>
          <w:b/>
          <w:sz w:val="28"/>
          <w:szCs w:val="28"/>
          <w:lang w:val="uk-UA"/>
        </w:rPr>
        <w:t>4</w:t>
      </w:r>
      <w:r w:rsidR="003B3245" w:rsidRPr="003B3245">
        <w:rPr>
          <w:rFonts w:ascii="Times New Roman" w:hAnsi="Times New Roman"/>
          <w:b/>
          <w:sz w:val="28"/>
          <w:szCs w:val="28"/>
          <w:vertAlign w:val="superscript"/>
          <w:lang w:val="uk-UA"/>
        </w:rPr>
        <w:t>1</w:t>
      </w:r>
      <w:r w:rsidR="003B3245">
        <w:rPr>
          <w:rFonts w:ascii="Times New Roman" w:hAnsi="Times New Roman"/>
          <w:b/>
          <w:sz w:val="28"/>
          <w:szCs w:val="28"/>
          <w:lang w:val="uk-UA"/>
        </w:rPr>
        <w:t xml:space="preserve"> Відповідність законодавству у сфері державної допомоги</w:t>
      </w:r>
    </w:p>
    <w:p w:rsidR="003B3245" w:rsidRPr="003B3245" w:rsidRDefault="003B3245" w:rsidP="003B3245">
      <w:pPr>
        <w:tabs>
          <w:tab w:val="left" w:pos="709"/>
        </w:tabs>
        <w:spacing w:after="0" w:line="240" w:lineRule="auto"/>
        <w:ind w:firstLine="709"/>
        <w:jc w:val="both"/>
        <w:rPr>
          <w:rFonts w:ascii="Times New Roman" w:hAnsi="Times New Roman"/>
          <w:sz w:val="28"/>
          <w:szCs w:val="28"/>
          <w:lang w:val="uk-UA"/>
        </w:rPr>
      </w:pPr>
      <w:proofErr w:type="spellStart"/>
      <w:r w:rsidRPr="003B3245">
        <w:rPr>
          <w:rFonts w:ascii="Times New Roman" w:hAnsi="Times New Roman"/>
          <w:sz w:val="28"/>
          <w:szCs w:val="28"/>
          <w:lang w:val="uk-UA"/>
        </w:rPr>
        <w:t>П</w:t>
      </w:r>
      <w:r>
        <w:rPr>
          <w:rFonts w:ascii="Times New Roman" w:hAnsi="Times New Roman"/>
          <w:sz w:val="28"/>
          <w:szCs w:val="28"/>
          <w:lang w:val="uk-UA"/>
        </w:rPr>
        <w:t>роєкт</w:t>
      </w:r>
      <w:proofErr w:type="spellEnd"/>
      <w:r>
        <w:rPr>
          <w:rFonts w:ascii="Times New Roman" w:hAnsi="Times New Roman"/>
          <w:sz w:val="28"/>
          <w:szCs w:val="28"/>
          <w:lang w:val="uk-UA"/>
        </w:rPr>
        <w:t xml:space="preserve"> Закону не стосується надання державної допомоги суб’єктам господарювання.</w:t>
      </w:r>
    </w:p>
    <w:p w:rsidR="000D2302" w:rsidRDefault="000D2302" w:rsidP="00F66192">
      <w:pPr>
        <w:tabs>
          <w:tab w:val="left" w:pos="709"/>
        </w:tabs>
        <w:spacing w:after="0" w:line="240" w:lineRule="auto"/>
        <w:ind w:firstLine="709"/>
        <w:rPr>
          <w:rFonts w:ascii="Times New Roman" w:hAnsi="Times New Roman"/>
          <w:sz w:val="27"/>
          <w:szCs w:val="27"/>
          <w:lang w:val="uk-UA"/>
        </w:rPr>
      </w:pPr>
    </w:p>
    <w:p w:rsidR="003B3245" w:rsidRDefault="003B3245" w:rsidP="00F66192">
      <w:pPr>
        <w:tabs>
          <w:tab w:val="left" w:pos="709"/>
        </w:tabs>
        <w:spacing w:after="0" w:line="240" w:lineRule="auto"/>
        <w:ind w:firstLine="709"/>
        <w:rPr>
          <w:rFonts w:ascii="Times New Roman" w:hAnsi="Times New Roman"/>
          <w:sz w:val="27"/>
          <w:szCs w:val="27"/>
          <w:lang w:val="uk-UA"/>
        </w:rPr>
      </w:pPr>
    </w:p>
    <w:p w:rsidR="003B3245" w:rsidRDefault="003B3245" w:rsidP="00F66192">
      <w:pPr>
        <w:tabs>
          <w:tab w:val="left" w:pos="709"/>
        </w:tabs>
        <w:spacing w:after="0" w:line="240" w:lineRule="auto"/>
        <w:ind w:firstLine="709"/>
        <w:rPr>
          <w:rFonts w:ascii="Times New Roman" w:hAnsi="Times New Roman"/>
          <w:sz w:val="27"/>
          <w:szCs w:val="27"/>
          <w:lang w:val="uk-UA"/>
        </w:rPr>
      </w:pPr>
    </w:p>
    <w:p w:rsidR="003B3245" w:rsidRDefault="003B3245" w:rsidP="00F66192">
      <w:pPr>
        <w:tabs>
          <w:tab w:val="left" w:pos="709"/>
        </w:tabs>
        <w:spacing w:after="0" w:line="240" w:lineRule="auto"/>
        <w:ind w:firstLine="709"/>
        <w:rPr>
          <w:rFonts w:ascii="Times New Roman" w:hAnsi="Times New Roman"/>
          <w:sz w:val="27"/>
          <w:szCs w:val="27"/>
          <w:lang w:val="uk-UA"/>
        </w:rPr>
      </w:pPr>
    </w:p>
    <w:p w:rsidR="002543E9" w:rsidRPr="00F66192" w:rsidRDefault="002543E9" w:rsidP="00F66192">
      <w:pPr>
        <w:tabs>
          <w:tab w:val="left" w:pos="709"/>
        </w:tabs>
        <w:spacing w:after="0" w:line="240" w:lineRule="auto"/>
        <w:ind w:firstLine="709"/>
        <w:rPr>
          <w:rFonts w:ascii="Times New Roman" w:hAnsi="Times New Roman"/>
          <w:sz w:val="27"/>
          <w:szCs w:val="27"/>
          <w:lang w:val="uk-UA"/>
        </w:rPr>
      </w:pPr>
      <w:bookmarkStart w:id="0" w:name="_GoBack"/>
      <w:bookmarkEnd w:id="0"/>
    </w:p>
    <w:p w:rsidR="00515ADB" w:rsidRPr="00F66192" w:rsidRDefault="00515ADB" w:rsidP="00F66192">
      <w:pPr>
        <w:tabs>
          <w:tab w:val="left" w:pos="709"/>
        </w:tabs>
        <w:spacing w:after="0" w:line="240" w:lineRule="auto"/>
        <w:ind w:firstLine="709"/>
        <w:jc w:val="both"/>
        <w:rPr>
          <w:rFonts w:ascii="Times New Roman" w:hAnsi="Times New Roman"/>
          <w:b/>
          <w:sz w:val="28"/>
          <w:szCs w:val="28"/>
          <w:lang w:val="uk-UA" w:eastAsia="ru-RU"/>
        </w:rPr>
      </w:pPr>
      <w:r w:rsidRPr="00F66192">
        <w:rPr>
          <w:rFonts w:ascii="Times New Roman" w:hAnsi="Times New Roman"/>
          <w:b/>
          <w:sz w:val="28"/>
          <w:szCs w:val="28"/>
          <w:lang w:val="uk-UA" w:eastAsia="ru-RU"/>
        </w:rPr>
        <w:lastRenderedPageBreak/>
        <w:t>5. Позиція заінтересованих сторін</w:t>
      </w:r>
    </w:p>
    <w:p w:rsidR="00515ADB" w:rsidRPr="00F66192" w:rsidRDefault="00515ADB" w:rsidP="00F66192">
      <w:pPr>
        <w:tabs>
          <w:tab w:val="left" w:pos="709"/>
        </w:tabs>
        <w:spacing w:after="0" w:line="240" w:lineRule="auto"/>
        <w:ind w:firstLine="709"/>
        <w:jc w:val="both"/>
        <w:rPr>
          <w:rFonts w:ascii="Times New Roman" w:hAnsi="Times New Roman"/>
          <w:b/>
          <w:sz w:val="28"/>
          <w:szCs w:val="28"/>
          <w:lang w:val="uk-UA"/>
        </w:rPr>
      </w:pPr>
      <w:r w:rsidRPr="00F66192">
        <w:rPr>
          <w:rFonts w:ascii="Times New Roman" w:hAnsi="Times New Roman"/>
          <w:sz w:val="28"/>
          <w:szCs w:val="28"/>
          <w:lang w:val="uk-UA"/>
        </w:rPr>
        <w:t xml:space="preserve">Консультації із заінтересованими сторонами стосовно </w:t>
      </w:r>
      <w:proofErr w:type="spellStart"/>
      <w:r w:rsidRPr="00F66192">
        <w:rPr>
          <w:rFonts w:ascii="Times New Roman" w:hAnsi="Times New Roman"/>
          <w:sz w:val="28"/>
          <w:szCs w:val="28"/>
          <w:lang w:val="uk-UA"/>
        </w:rPr>
        <w:t>про</w:t>
      </w:r>
      <w:r w:rsidR="004A667C">
        <w:rPr>
          <w:rFonts w:ascii="Times New Roman" w:hAnsi="Times New Roman"/>
          <w:sz w:val="28"/>
          <w:szCs w:val="28"/>
          <w:lang w:val="uk-UA"/>
        </w:rPr>
        <w:t>є</w:t>
      </w:r>
      <w:r w:rsidRPr="00F66192">
        <w:rPr>
          <w:rFonts w:ascii="Times New Roman" w:hAnsi="Times New Roman"/>
          <w:sz w:val="28"/>
          <w:szCs w:val="28"/>
          <w:lang w:val="uk-UA"/>
        </w:rPr>
        <w:t>кту</w:t>
      </w:r>
      <w:proofErr w:type="spellEnd"/>
      <w:r w:rsidRPr="00F66192">
        <w:rPr>
          <w:rFonts w:ascii="Times New Roman" w:hAnsi="Times New Roman"/>
          <w:sz w:val="28"/>
          <w:szCs w:val="28"/>
          <w:lang w:val="uk-UA"/>
        </w:rPr>
        <w:t xml:space="preserve"> Закону не проводилися.</w:t>
      </w:r>
    </w:p>
    <w:p w:rsidR="006A77B5" w:rsidRPr="00F66192" w:rsidRDefault="004A667C" w:rsidP="00F66192">
      <w:pPr>
        <w:pStyle w:val="rvps21"/>
        <w:tabs>
          <w:tab w:val="left" w:pos="0"/>
        </w:tabs>
        <w:spacing w:after="0"/>
        <w:ind w:firstLine="709"/>
        <w:rPr>
          <w:sz w:val="28"/>
          <w:szCs w:val="28"/>
          <w:shd w:val="clear" w:color="auto" w:fill="FFFFFF"/>
          <w:lang w:val="uk-UA"/>
        </w:rPr>
      </w:pPr>
      <w:r>
        <w:rPr>
          <w:sz w:val="28"/>
          <w:szCs w:val="28"/>
          <w:lang w:val="uk-UA"/>
        </w:rPr>
        <w:t xml:space="preserve">Реалізація </w:t>
      </w:r>
      <w:proofErr w:type="spellStart"/>
      <w:r>
        <w:rPr>
          <w:sz w:val="28"/>
          <w:szCs w:val="28"/>
          <w:lang w:val="uk-UA"/>
        </w:rPr>
        <w:t>проє</w:t>
      </w:r>
      <w:r w:rsidR="006A77B5" w:rsidRPr="00F66192">
        <w:rPr>
          <w:sz w:val="28"/>
          <w:szCs w:val="28"/>
          <w:lang w:val="uk-UA"/>
        </w:rPr>
        <w:t>кту</w:t>
      </w:r>
      <w:proofErr w:type="spellEnd"/>
      <w:r w:rsidR="006A77B5" w:rsidRPr="00F66192">
        <w:rPr>
          <w:sz w:val="28"/>
          <w:szCs w:val="28"/>
          <w:lang w:val="uk-UA"/>
        </w:rPr>
        <w:t xml:space="preserve"> Закону матиме позитивний вплив на</w:t>
      </w:r>
      <w:r w:rsidR="006A77B5" w:rsidRPr="00F66192">
        <w:rPr>
          <w:sz w:val="28"/>
          <w:szCs w:val="28"/>
          <w:shd w:val="clear" w:color="auto" w:fill="FFFFFF"/>
          <w:lang w:val="uk-UA"/>
        </w:rPr>
        <w:t xml:space="preserve"> інтереси суб’єктів господарювання і держави, а саме:</w:t>
      </w:r>
    </w:p>
    <w:p w:rsidR="006A77B5" w:rsidRPr="00F66192" w:rsidRDefault="006A77B5" w:rsidP="00F66192">
      <w:pPr>
        <w:spacing w:after="0" w:line="240" w:lineRule="auto"/>
        <w:ind w:firstLine="709"/>
        <w:rPr>
          <w:rFonts w:ascii="Times New Roman" w:hAnsi="Times New Roman"/>
          <w:sz w:val="28"/>
          <w:szCs w:val="28"/>
          <w:lang w:val="uk-UA"/>
        </w:rPr>
      </w:pPr>
      <w:r w:rsidRPr="00F66192">
        <w:rPr>
          <w:rFonts w:ascii="Times New Roman" w:hAnsi="Times New Roman"/>
          <w:sz w:val="28"/>
          <w:szCs w:val="28"/>
          <w:shd w:val="clear" w:color="auto" w:fill="FFFFFF"/>
          <w:lang w:val="uk-UA"/>
        </w:rPr>
        <w:t xml:space="preserve">для суб’єктів господарювання – конкурентоспроможність вітчизняних сортів та </w:t>
      </w:r>
      <w:r w:rsidRPr="00F66192">
        <w:rPr>
          <w:rFonts w:ascii="Times New Roman" w:hAnsi="Times New Roman"/>
          <w:sz w:val="28"/>
          <w:szCs w:val="28"/>
          <w:lang w:val="uk-UA"/>
        </w:rPr>
        <w:t>вихі</w:t>
      </w:r>
      <w:r w:rsidR="008E562A">
        <w:rPr>
          <w:rFonts w:ascii="Times New Roman" w:hAnsi="Times New Roman"/>
          <w:sz w:val="28"/>
          <w:szCs w:val="28"/>
          <w:lang w:val="uk-UA"/>
        </w:rPr>
        <w:t>д на міжнародний ринок насіння;</w:t>
      </w:r>
    </w:p>
    <w:p w:rsidR="006A77B5" w:rsidRDefault="006A77B5" w:rsidP="00F66192">
      <w:pPr>
        <w:pStyle w:val="rvps21"/>
        <w:tabs>
          <w:tab w:val="left" w:pos="0"/>
        </w:tabs>
        <w:spacing w:after="0"/>
        <w:ind w:firstLine="709"/>
        <w:rPr>
          <w:noProof/>
          <w:sz w:val="28"/>
          <w:szCs w:val="28"/>
          <w:lang w:val="uk-UA" w:eastAsia="uk-UA"/>
        </w:rPr>
      </w:pPr>
      <w:r w:rsidRPr="00F66192">
        <w:rPr>
          <w:noProof/>
          <w:sz w:val="28"/>
          <w:szCs w:val="28"/>
          <w:lang w:val="uk-UA" w:eastAsia="uk-UA"/>
        </w:rPr>
        <w:t xml:space="preserve">для держави – </w:t>
      </w:r>
      <w:r w:rsidRPr="00F66192">
        <w:rPr>
          <w:sz w:val="28"/>
          <w:szCs w:val="28"/>
          <w:lang w:val="uk-UA" w:eastAsia="ru-RU"/>
        </w:rPr>
        <w:t xml:space="preserve">захист державних інтересів в галузі насінництва та </w:t>
      </w:r>
      <w:proofErr w:type="spellStart"/>
      <w:r w:rsidRPr="00F66192">
        <w:rPr>
          <w:sz w:val="28"/>
          <w:szCs w:val="28"/>
          <w:lang w:val="uk-UA" w:eastAsia="ru-RU"/>
        </w:rPr>
        <w:t>розсадництва</w:t>
      </w:r>
      <w:proofErr w:type="spellEnd"/>
      <w:r w:rsidRPr="00F66192">
        <w:rPr>
          <w:sz w:val="28"/>
          <w:szCs w:val="28"/>
          <w:lang w:val="uk-UA"/>
        </w:rPr>
        <w:t xml:space="preserve"> та експорт продукції з високою доданою вартістю</w:t>
      </w:r>
      <w:r w:rsidRPr="00F66192">
        <w:rPr>
          <w:noProof/>
          <w:sz w:val="28"/>
          <w:szCs w:val="28"/>
          <w:lang w:val="uk-UA" w:eastAsia="uk-UA"/>
        </w:rPr>
        <w:t>.</w:t>
      </w:r>
    </w:p>
    <w:p w:rsidR="003B3245" w:rsidRPr="00F66192" w:rsidRDefault="003B3245" w:rsidP="00F66192">
      <w:pPr>
        <w:pStyle w:val="rvps21"/>
        <w:tabs>
          <w:tab w:val="left" w:pos="0"/>
        </w:tabs>
        <w:spacing w:after="0"/>
        <w:ind w:firstLine="709"/>
        <w:rPr>
          <w:noProof/>
          <w:sz w:val="28"/>
          <w:szCs w:val="28"/>
          <w:lang w:val="uk-UA" w:eastAsia="uk-UA"/>
        </w:rPr>
      </w:pPr>
      <w:r>
        <w:rPr>
          <w:noProof/>
          <w:sz w:val="28"/>
          <w:szCs w:val="28"/>
          <w:lang w:val="uk-UA" w:eastAsia="uk-UA"/>
        </w:rPr>
        <w:t>Прогноз впливу додається.</w:t>
      </w:r>
    </w:p>
    <w:p w:rsidR="00515ADB" w:rsidRPr="00F66192" w:rsidRDefault="00515ADB" w:rsidP="00F66192">
      <w:pPr>
        <w:tabs>
          <w:tab w:val="left" w:pos="709"/>
        </w:tabs>
        <w:spacing w:after="0" w:line="240" w:lineRule="auto"/>
        <w:ind w:firstLine="709"/>
        <w:rPr>
          <w:rFonts w:ascii="Times New Roman" w:hAnsi="Times New Roman"/>
          <w:sz w:val="28"/>
          <w:szCs w:val="28"/>
          <w:lang w:val="uk-UA"/>
        </w:rPr>
      </w:pPr>
    </w:p>
    <w:p w:rsidR="00515ADB" w:rsidRPr="00E03078" w:rsidRDefault="00BF3BE5" w:rsidP="00F66192">
      <w:pPr>
        <w:tabs>
          <w:tab w:val="left" w:pos="709"/>
        </w:tabs>
        <w:spacing w:after="0" w:line="240" w:lineRule="auto"/>
        <w:ind w:firstLine="709"/>
        <w:rPr>
          <w:rFonts w:ascii="Times New Roman" w:hAnsi="Times New Roman"/>
          <w:b/>
          <w:sz w:val="28"/>
          <w:szCs w:val="28"/>
          <w:lang w:val="uk-UA" w:eastAsia="ru-RU"/>
        </w:rPr>
      </w:pPr>
      <w:r w:rsidRPr="00E03078">
        <w:rPr>
          <w:rFonts w:ascii="Times New Roman" w:hAnsi="Times New Roman"/>
          <w:b/>
          <w:sz w:val="28"/>
          <w:szCs w:val="28"/>
          <w:lang w:val="uk-UA" w:eastAsia="ru-RU"/>
        </w:rPr>
        <w:t>6</w:t>
      </w:r>
      <w:r w:rsidR="00515ADB" w:rsidRPr="00E03078">
        <w:rPr>
          <w:rFonts w:ascii="Times New Roman" w:hAnsi="Times New Roman"/>
          <w:b/>
          <w:sz w:val="28"/>
          <w:szCs w:val="28"/>
          <w:lang w:val="uk-UA" w:eastAsia="ru-RU"/>
        </w:rPr>
        <w:t>. Позиція заінтересованих органів</w:t>
      </w:r>
    </w:p>
    <w:p w:rsidR="00580BEC" w:rsidRPr="00E03078" w:rsidRDefault="00580BEC" w:rsidP="00580BEC">
      <w:pPr>
        <w:shd w:val="clear" w:color="auto" w:fill="FFFFFF"/>
        <w:spacing w:after="0" w:line="240" w:lineRule="auto"/>
        <w:ind w:firstLine="709"/>
        <w:jc w:val="both"/>
        <w:rPr>
          <w:rFonts w:ascii="Times New Roman" w:hAnsi="Times New Roman"/>
          <w:spacing w:val="-1"/>
          <w:sz w:val="28"/>
          <w:szCs w:val="28"/>
          <w:lang w:val="uk-UA"/>
        </w:rPr>
      </w:pPr>
      <w:r w:rsidRPr="00E03078">
        <w:rPr>
          <w:rFonts w:ascii="Times New Roman" w:hAnsi="Times New Roman"/>
          <w:spacing w:val="-1"/>
          <w:sz w:val="28"/>
          <w:szCs w:val="28"/>
          <w:lang w:val="uk-UA"/>
        </w:rPr>
        <w:t>Проект Закону погоджено без зауважень Мін</w:t>
      </w:r>
      <w:r w:rsidR="00FB6609">
        <w:rPr>
          <w:rFonts w:ascii="Times New Roman" w:hAnsi="Times New Roman"/>
          <w:spacing w:val="-1"/>
          <w:sz w:val="28"/>
          <w:szCs w:val="28"/>
          <w:lang w:val="uk-UA"/>
        </w:rPr>
        <w:t>фіном, МЗС, Мін</w:t>
      </w:r>
      <w:r w:rsidR="00FB6609" w:rsidRPr="00FB6609">
        <w:rPr>
          <w:rFonts w:ascii="Times New Roman" w:hAnsi="Times New Roman"/>
          <w:spacing w:val="-1"/>
          <w:sz w:val="28"/>
          <w:szCs w:val="28"/>
          <w:lang w:val="ru-RU"/>
        </w:rPr>
        <w:t>’</w:t>
      </w:r>
      <w:proofErr w:type="spellStart"/>
      <w:r w:rsidR="00FB6609">
        <w:rPr>
          <w:rFonts w:ascii="Times New Roman" w:hAnsi="Times New Roman"/>
          <w:spacing w:val="-1"/>
          <w:sz w:val="28"/>
          <w:szCs w:val="28"/>
          <w:lang w:val="uk-UA"/>
        </w:rPr>
        <w:t>юстом</w:t>
      </w:r>
      <w:proofErr w:type="spellEnd"/>
      <w:r w:rsidR="00FB6609">
        <w:rPr>
          <w:rFonts w:ascii="Times New Roman" w:hAnsi="Times New Roman"/>
          <w:spacing w:val="-1"/>
          <w:sz w:val="28"/>
          <w:szCs w:val="28"/>
          <w:lang w:val="uk-UA"/>
        </w:rPr>
        <w:t>.</w:t>
      </w:r>
    </w:p>
    <w:p w:rsidR="00515ADB" w:rsidRPr="00F66192" w:rsidRDefault="00FB6609" w:rsidP="00F66192">
      <w:pPr>
        <w:spacing w:after="0" w:line="240" w:lineRule="auto"/>
        <w:ind w:firstLine="709"/>
        <w:jc w:val="both"/>
        <w:rPr>
          <w:rFonts w:ascii="Times New Roman" w:hAnsi="Times New Roman"/>
          <w:sz w:val="28"/>
          <w:szCs w:val="28"/>
          <w:lang w:val="uk-UA"/>
        </w:rPr>
      </w:pPr>
      <w:r>
        <w:rPr>
          <w:rFonts w:ascii="Times New Roman" w:hAnsi="Times New Roman"/>
          <w:spacing w:val="-1"/>
          <w:sz w:val="28"/>
          <w:szCs w:val="28"/>
          <w:lang w:val="uk-UA"/>
        </w:rPr>
        <w:t>Мін</w:t>
      </w:r>
      <w:r w:rsidRPr="00FB6609">
        <w:rPr>
          <w:rFonts w:ascii="Times New Roman" w:hAnsi="Times New Roman"/>
          <w:spacing w:val="-1"/>
          <w:sz w:val="28"/>
          <w:szCs w:val="28"/>
          <w:lang w:val="ru-RU"/>
        </w:rPr>
        <w:t>’</w:t>
      </w:r>
      <w:proofErr w:type="spellStart"/>
      <w:r>
        <w:rPr>
          <w:rFonts w:ascii="Times New Roman" w:hAnsi="Times New Roman"/>
          <w:spacing w:val="-1"/>
          <w:sz w:val="28"/>
          <w:szCs w:val="28"/>
          <w:lang w:val="uk-UA"/>
        </w:rPr>
        <w:t>юстом</w:t>
      </w:r>
      <w:proofErr w:type="spellEnd"/>
      <w:r w:rsidRPr="00483F94">
        <w:rPr>
          <w:rFonts w:ascii="Times New Roman" w:hAnsi="Times New Roman"/>
          <w:sz w:val="28"/>
          <w:szCs w:val="28"/>
          <w:lang w:val="uk-UA"/>
        </w:rPr>
        <w:t xml:space="preserve"> за результатами проведення правової експертизи надано висновок від </w:t>
      </w:r>
      <w:r w:rsidR="008E562A">
        <w:rPr>
          <w:rFonts w:ascii="Times New Roman" w:hAnsi="Times New Roman"/>
          <w:sz w:val="28"/>
          <w:szCs w:val="28"/>
          <w:lang w:val="uk-UA"/>
        </w:rPr>
        <w:t>28</w:t>
      </w:r>
      <w:r w:rsidRPr="00483F94">
        <w:rPr>
          <w:rFonts w:ascii="Times New Roman" w:hAnsi="Times New Roman"/>
          <w:sz w:val="28"/>
          <w:szCs w:val="28"/>
          <w:lang w:val="uk-UA"/>
        </w:rPr>
        <w:t xml:space="preserve"> </w:t>
      </w:r>
      <w:r>
        <w:rPr>
          <w:rFonts w:ascii="Times New Roman" w:hAnsi="Times New Roman"/>
          <w:sz w:val="28"/>
          <w:szCs w:val="28"/>
          <w:lang w:val="uk-UA"/>
        </w:rPr>
        <w:t>листопада</w:t>
      </w:r>
      <w:r w:rsidRPr="00483F94">
        <w:rPr>
          <w:rFonts w:ascii="Times New Roman" w:hAnsi="Times New Roman"/>
          <w:sz w:val="28"/>
          <w:szCs w:val="28"/>
          <w:lang w:val="uk-UA"/>
        </w:rPr>
        <w:t xml:space="preserve"> 2019 року</w:t>
      </w:r>
      <w:r w:rsidR="0008476F">
        <w:rPr>
          <w:rFonts w:ascii="Times New Roman" w:hAnsi="Times New Roman"/>
          <w:sz w:val="28"/>
          <w:szCs w:val="28"/>
          <w:lang w:val="uk-UA"/>
        </w:rPr>
        <w:t>.</w:t>
      </w:r>
    </w:p>
    <w:p w:rsidR="00FB6609" w:rsidRPr="003B3245" w:rsidRDefault="00FB6609" w:rsidP="00F66192">
      <w:pPr>
        <w:spacing w:after="0" w:line="240" w:lineRule="auto"/>
        <w:ind w:firstLine="709"/>
        <w:jc w:val="both"/>
        <w:rPr>
          <w:rFonts w:ascii="Times New Roman" w:hAnsi="Times New Roman"/>
          <w:sz w:val="28"/>
          <w:szCs w:val="28"/>
          <w:lang w:val="ru-RU"/>
        </w:rPr>
      </w:pPr>
    </w:p>
    <w:p w:rsidR="00F66192" w:rsidRPr="00F66192" w:rsidRDefault="00BF3BE5" w:rsidP="00F66192">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7</w:t>
      </w:r>
      <w:r w:rsidR="00515ADB" w:rsidRPr="00F66192">
        <w:rPr>
          <w:rFonts w:ascii="Times New Roman" w:hAnsi="Times New Roman"/>
          <w:b/>
          <w:sz w:val="28"/>
          <w:szCs w:val="28"/>
          <w:lang w:val="uk-UA"/>
        </w:rPr>
        <w:t xml:space="preserve">. </w:t>
      </w:r>
      <w:r w:rsidR="00F66192" w:rsidRPr="00F66192">
        <w:rPr>
          <w:rFonts w:ascii="Times New Roman" w:hAnsi="Times New Roman"/>
          <w:b/>
          <w:sz w:val="28"/>
          <w:szCs w:val="28"/>
          <w:lang w:val="uk-UA"/>
        </w:rPr>
        <w:t xml:space="preserve">Підстава розроблення </w:t>
      </w:r>
      <w:proofErr w:type="spellStart"/>
      <w:r w:rsidR="00F66192" w:rsidRPr="00F66192">
        <w:rPr>
          <w:rFonts w:ascii="Times New Roman" w:hAnsi="Times New Roman"/>
          <w:b/>
          <w:sz w:val="28"/>
          <w:szCs w:val="28"/>
          <w:lang w:val="uk-UA"/>
        </w:rPr>
        <w:t>акта</w:t>
      </w:r>
      <w:proofErr w:type="spellEnd"/>
    </w:p>
    <w:p w:rsidR="00515ADB" w:rsidRPr="00F66192" w:rsidRDefault="00AA5778" w:rsidP="00F66192">
      <w:pPr>
        <w:spacing w:after="0" w:line="240" w:lineRule="auto"/>
        <w:ind w:firstLine="709"/>
        <w:jc w:val="both"/>
        <w:rPr>
          <w:rFonts w:ascii="Times New Roman" w:hAnsi="Times New Roman"/>
          <w:sz w:val="28"/>
          <w:szCs w:val="28"/>
          <w:lang w:val="uk-UA"/>
        </w:rPr>
      </w:pPr>
      <w:proofErr w:type="spellStart"/>
      <w:r>
        <w:rPr>
          <w:rFonts w:ascii="Times New Roman" w:hAnsi="Times New Roman"/>
          <w:sz w:val="28"/>
          <w:szCs w:val="28"/>
          <w:lang w:val="uk-UA"/>
        </w:rPr>
        <w:t>Проє</w:t>
      </w:r>
      <w:r w:rsidR="00515ADB" w:rsidRPr="00F66192">
        <w:rPr>
          <w:rFonts w:ascii="Times New Roman" w:hAnsi="Times New Roman"/>
          <w:sz w:val="28"/>
          <w:szCs w:val="28"/>
          <w:lang w:val="uk-UA"/>
        </w:rPr>
        <w:t>кт</w:t>
      </w:r>
      <w:proofErr w:type="spellEnd"/>
      <w:r w:rsidR="00515ADB" w:rsidRPr="00F66192">
        <w:rPr>
          <w:rFonts w:ascii="Times New Roman" w:hAnsi="Times New Roman"/>
          <w:sz w:val="28"/>
          <w:szCs w:val="28"/>
          <w:lang w:val="uk-UA"/>
        </w:rPr>
        <w:t xml:space="preserve"> Закону розроблено Міністерством розвитку економіки, торгівлі та сільського господарства України</w:t>
      </w:r>
      <w:r w:rsidR="00515ADB" w:rsidRPr="00F66192">
        <w:rPr>
          <w:rFonts w:ascii="Times New Roman" w:hAnsi="Times New Roman"/>
          <w:b/>
          <w:sz w:val="28"/>
          <w:szCs w:val="28"/>
          <w:lang w:val="uk-UA"/>
        </w:rPr>
        <w:t xml:space="preserve"> </w:t>
      </w:r>
      <w:r w:rsidR="00515ADB" w:rsidRPr="00F66192">
        <w:rPr>
          <w:rFonts w:ascii="Times New Roman" w:hAnsi="Times New Roman"/>
          <w:sz w:val="28"/>
          <w:szCs w:val="28"/>
          <w:lang w:val="uk-UA"/>
        </w:rPr>
        <w:t>відповідно до статті  9 та пункту «а» частини першої статті 13 Закону України «Про міжнародні договори України».</w:t>
      </w:r>
    </w:p>
    <w:p w:rsidR="00515ADB" w:rsidRDefault="00515ADB" w:rsidP="00483F94">
      <w:pPr>
        <w:spacing w:after="0" w:line="240" w:lineRule="auto"/>
        <w:ind w:firstLine="709"/>
        <w:jc w:val="both"/>
        <w:rPr>
          <w:rFonts w:ascii="Times New Roman" w:hAnsi="Times New Roman"/>
          <w:sz w:val="28"/>
          <w:szCs w:val="28"/>
          <w:lang w:val="uk-UA"/>
        </w:rPr>
      </w:pPr>
    </w:p>
    <w:p w:rsidR="00DA43BF" w:rsidRPr="00F66192" w:rsidRDefault="00DA43BF" w:rsidP="00483F94">
      <w:pPr>
        <w:spacing w:after="0" w:line="240" w:lineRule="auto"/>
        <w:ind w:firstLine="709"/>
        <w:jc w:val="both"/>
        <w:rPr>
          <w:rFonts w:ascii="Times New Roman" w:hAnsi="Times New Roman"/>
          <w:sz w:val="28"/>
          <w:szCs w:val="28"/>
          <w:lang w:val="uk-UA"/>
        </w:rPr>
      </w:pPr>
    </w:p>
    <w:p w:rsidR="00EE01F8" w:rsidRPr="00F66192" w:rsidRDefault="005C0C99" w:rsidP="005C0C99">
      <w:pPr>
        <w:spacing w:after="0" w:line="240" w:lineRule="auto"/>
        <w:jc w:val="both"/>
        <w:rPr>
          <w:rFonts w:ascii="Times New Roman" w:hAnsi="Times New Roman"/>
          <w:b/>
          <w:sz w:val="28"/>
          <w:szCs w:val="28"/>
          <w:lang w:val="uk-UA"/>
        </w:rPr>
      </w:pPr>
      <w:r w:rsidRPr="00F66192">
        <w:rPr>
          <w:rFonts w:ascii="Times New Roman" w:hAnsi="Times New Roman"/>
          <w:b/>
          <w:sz w:val="28"/>
          <w:szCs w:val="28"/>
          <w:lang w:val="uk-UA"/>
        </w:rPr>
        <w:t xml:space="preserve">Міністр </w:t>
      </w:r>
      <w:r w:rsidR="00EE01F8" w:rsidRPr="00F66192">
        <w:rPr>
          <w:rFonts w:ascii="Times New Roman" w:hAnsi="Times New Roman"/>
          <w:b/>
          <w:sz w:val="28"/>
          <w:szCs w:val="28"/>
          <w:lang w:val="uk-UA"/>
        </w:rPr>
        <w:t xml:space="preserve">розвитку </w:t>
      </w:r>
      <w:r w:rsidRPr="00F66192">
        <w:rPr>
          <w:rFonts w:ascii="Times New Roman" w:hAnsi="Times New Roman"/>
          <w:b/>
          <w:sz w:val="28"/>
          <w:szCs w:val="28"/>
          <w:lang w:val="uk-UA"/>
        </w:rPr>
        <w:t xml:space="preserve">економіки, </w:t>
      </w:r>
    </w:p>
    <w:p w:rsidR="00EE01F8" w:rsidRPr="00F66192" w:rsidRDefault="005C0C99" w:rsidP="005C0C99">
      <w:pPr>
        <w:spacing w:after="0" w:line="240" w:lineRule="auto"/>
        <w:jc w:val="both"/>
        <w:rPr>
          <w:rFonts w:ascii="Times New Roman" w:hAnsi="Times New Roman"/>
          <w:b/>
          <w:sz w:val="28"/>
          <w:szCs w:val="28"/>
          <w:lang w:val="uk-UA"/>
        </w:rPr>
      </w:pPr>
      <w:r w:rsidRPr="00F66192">
        <w:rPr>
          <w:rFonts w:ascii="Times New Roman" w:hAnsi="Times New Roman"/>
          <w:b/>
          <w:sz w:val="28"/>
          <w:szCs w:val="28"/>
          <w:lang w:val="uk-UA"/>
        </w:rPr>
        <w:t xml:space="preserve">торгівлі та сільського </w:t>
      </w:r>
    </w:p>
    <w:p w:rsidR="00BF4F60" w:rsidRPr="00F66192" w:rsidRDefault="005C0C99" w:rsidP="005C0C99">
      <w:pPr>
        <w:spacing w:after="0" w:line="240" w:lineRule="auto"/>
        <w:jc w:val="both"/>
        <w:rPr>
          <w:rFonts w:ascii="Times New Roman" w:hAnsi="Times New Roman"/>
          <w:b/>
          <w:sz w:val="28"/>
          <w:szCs w:val="28"/>
          <w:lang w:val="uk-UA"/>
        </w:rPr>
      </w:pPr>
      <w:r w:rsidRPr="00F66192">
        <w:rPr>
          <w:rFonts w:ascii="Times New Roman" w:hAnsi="Times New Roman"/>
          <w:b/>
          <w:sz w:val="28"/>
          <w:szCs w:val="28"/>
          <w:lang w:val="uk-UA"/>
        </w:rPr>
        <w:t xml:space="preserve">господарства України                               </w:t>
      </w:r>
      <w:r w:rsidR="00EE01F8" w:rsidRPr="00F66192">
        <w:rPr>
          <w:rFonts w:ascii="Times New Roman" w:hAnsi="Times New Roman"/>
          <w:b/>
          <w:sz w:val="28"/>
          <w:szCs w:val="28"/>
          <w:lang w:val="uk-UA"/>
        </w:rPr>
        <w:t xml:space="preserve">                       </w:t>
      </w:r>
      <w:r w:rsidRPr="00F66192">
        <w:rPr>
          <w:rFonts w:ascii="Times New Roman" w:hAnsi="Times New Roman"/>
          <w:b/>
          <w:sz w:val="28"/>
          <w:szCs w:val="28"/>
          <w:lang w:val="uk-UA"/>
        </w:rPr>
        <w:t xml:space="preserve">  Тимофій МИЛОВАНОВ</w:t>
      </w:r>
    </w:p>
    <w:p w:rsidR="00BF4F60" w:rsidRPr="00F66192" w:rsidRDefault="00BF4F60" w:rsidP="00483F94">
      <w:pPr>
        <w:spacing w:after="0" w:line="240" w:lineRule="auto"/>
        <w:jc w:val="both"/>
        <w:rPr>
          <w:rFonts w:ascii="Times New Roman" w:hAnsi="Times New Roman"/>
          <w:sz w:val="28"/>
          <w:szCs w:val="28"/>
          <w:lang w:val="uk-UA"/>
        </w:rPr>
      </w:pPr>
      <w:r w:rsidRPr="00F66192">
        <w:rPr>
          <w:rFonts w:ascii="Times New Roman" w:hAnsi="Times New Roman"/>
          <w:sz w:val="28"/>
          <w:szCs w:val="28"/>
          <w:lang w:val="uk-UA"/>
        </w:rPr>
        <w:t>«___» _____________  _____ р.</w:t>
      </w:r>
    </w:p>
    <w:p w:rsidR="00BF4F60" w:rsidRPr="00F66192" w:rsidRDefault="00BF4F60" w:rsidP="00483F94">
      <w:pPr>
        <w:spacing w:line="240" w:lineRule="auto"/>
        <w:rPr>
          <w:rFonts w:ascii="Times New Roman" w:hAnsi="Times New Roman"/>
          <w:sz w:val="28"/>
          <w:szCs w:val="28"/>
          <w:lang w:val="uk-UA"/>
        </w:rPr>
      </w:pPr>
    </w:p>
    <w:sectPr w:rsidR="00BF4F60" w:rsidRPr="00F66192" w:rsidSect="00DF41E8">
      <w:headerReference w:type="default" r:id="rId7"/>
      <w:pgSz w:w="12240" w:h="15840"/>
      <w:pgMar w:top="851" w:right="692"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237" w:rsidRDefault="00ED7237" w:rsidP="00483F94">
      <w:pPr>
        <w:spacing w:after="0" w:line="240" w:lineRule="auto"/>
      </w:pPr>
      <w:r>
        <w:separator/>
      </w:r>
    </w:p>
  </w:endnote>
  <w:endnote w:type="continuationSeparator" w:id="0">
    <w:p w:rsidR="00ED7237" w:rsidRDefault="00ED7237" w:rsidP="0048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Antiqua">
    <w:altName w:val="Times New Roman"/>
    <w:charset w:val="01"/>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237" w:rsidRDefault="00ED7237" w:rsidP="00483F94">
      <w:pPr>
        <w:spacing w:after="0" w:line="240" w:lineRule="auto"/>
      </w:pPr>
      <w:r>
        <w:separator/>
      </w:r>
    </w:p>
  </w:footnote>
  <w:footnote w:type="continuationSeparator" w:id="0">
    <w:p w:rsidR="00ED7237" w:rsidRDefault="00ED7237" w:rsidP="00483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F60" w:rsidRPr="005E03B1" w:rsidRDefault="00BF4F60">
    <w:pPr>
      <w:pStyle w:val="a3"/>
      <w:jc w:val="center"/>
      <w:rPr>
        <w:rFonts w:ascii="Times New Roman" w:hAnsi="Times New Roman"/>
        <w:sz w:val="26"/>
        <w:szCs w:val="26"/>
      </w:rPr>
    </w:pPr>
    <w:r w:rsidRPr="005E03B1">
      <w:rPr>
        <w:rFonts w:ascii="Times New Roman" w:hAnsi="Times New Roman"/>
        <w:sz w:val="26"/>
        <w:szCs w:val="26"/>
      </w:rPr>
      <w:fldChar w:fldCharType="begin"/>
    </w:r>
    <w:r w:rsidRPr="005E03B1">
      <w:rPr>
        <w:rFonts w:ascii="Times New Roman" w:hAnsi="Times New Roman"/>
        <w:sz w:val="26"/>
        <w:szCs w:val="26"/>
      </w:rPr>
      <w:instrText xml:space="preserve"> PAGE   \* MERGEFORMAT </w:instrText>
    </w:r>
    <w:r w:rsidRPr="005E03B1">
      <w:rPr>
        <w:rFonts w:ascii="Times New Roman" w:hAnsi="Times New Roman"/>
        <w:sz w:val="26"/>
        <w:szCs w:val="26"/>
      </w:rPr>
      <w:fldChar w:fldCharType="separate"/>
    </w:r>
    <w:r w:rsidR="002543E9">
      <w:rPr>
        <w:rFonts w:ascii="Times New Roman" w:hAnsi="Times New Roman"/>
        <w:noProof/>
        <w:sz w:val="26"/>
        <w:szCs w:val="26"/>
      </w:rPr>
      <w:t>2</w:t>
    </w:r>
    <w:r w:rsidRPr="005E03B1">
      <w:rPr>
        <w:rFonts w:ascii="Times New Roman" w:hAnsi="Times New Roman"/>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AE729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38B96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3E6483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170489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85CE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1CE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CC17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2012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284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79EDFD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F94"/>
    <w:rsid w:val="0001308C"/>
    <w:rsid w:val="0008476F"/>
    <w:rsid w:val="000D2302"/>
    <w:rsid w:val="000E7112"/>
    <w:rsid w:val="001F070A"/>
    <w:rsid w:val="002543E9"/>
    <w:rsid w:val="00282CEF"/>
    <w:rsid w:val="002B40B6"/>
    <w:rsid w:val="002D0908"/>
    <w:rsid w:val="00346DE0"/>
    <w:rsid w:val="00356532"/>
    <w:rsid w:val="003B3245"/>
    <w:rsid w:val="003C7C3A"/>
    <w:rsid w:val="004253C3"/>
    <w:rsid w:val="004364C9"/>
    <w:rsid w:val="00442A50"/>
    <w:rsid w:val="00455CAD"/>
    <w:rsid w:val="00481DE9"/>
    <w:rsid w:val="00483F94"/>
    <w:rsid w:val="004A667C"/>
    <w:rsid w:val="00515ADB"/>
    <w:rsid w:val="00580BEC"/>
    <w:rsid w:val="00593527"/>
    <w:rsid w:val="005C0C99"/>
    <w:rsid w:val="005C4397"/>
    <w:rsid w:val="005D09BD"/>
    <w:rsid w:val="005E03B1"/>
    <w:rsid w:val="006051C3"/>
    <w:rsid w:val="006A77B5"/>
    <w:rsid w:val="007469DD"/>
    <w:rsid w:val="00772674"/>
    <w:rsid w:val="007E4E2E"/>
    <w:rsid w:val="008624B7"/>
    <w:rsid w:val="008C69EA"/>
    <w:rsid w:val="008E562A"/>
    <w:rsid w:val="00910B95"/>
    <w:rsid w:val="00910DC9"/>
    <w:rsid w:val="0095090F"/>
    <w:rsid w:val="009B2CD2"/>
    <w:rsid w:val="00A01F2E"/>
    <w:rsid w:val="00AA5778"/>
    <w:rsid w:val="00AD082B"/>
    <w:rsid w:val="00B77E64"/>
    <w:rsid w:val="00B97277"/>
    <w:rsid w:val="00BF3BE5"/>
    <w:rsid w:val="00BF4F60"/>
    <w:rsid w:val="00DA43BF"/>
    <w:rsid w:val="00DD33B9"/>
    <w:rsid w:val="00DF41E8"/>
    <w:rsid w:val="00E03078"/>
    <w:rsid w:val="00E81413"/>
    <w:rsid w:val="00ED3E98"/>
    <w:rsid w:val="00ED7237"/>
    <w:rsid w:val="00EE01F8"/>
    <w:rsid w:val="00EE432D"/>
    <w:rsid w:val="00F0073D"/>
    <w:rsid w:val="00F66192"/>
    <w:rsid w:val="00F9017A"/>
    <w:rsid w:val="00FB6609"/>
    <w:rsid w:val="00FC1B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8832F"/>
  <w14:defaultImageDpi w14:val="0"/>
  <w15:docId w15:val="{2DAD86FA-070C-4927-B565-27BD259D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B03"/>
    <w:pPr>
      <w:spacing w:after="200" w:line="276" w:lineRule="auto"/>
    </w:pPr>
    <w:rPr>
      <w:lang w:val="en-US"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83F94"/>
    <w:pPr>
      <w:tabs>
        <w:tab w:val="center" w:pos="4844"/>
        <w:tab w:val="right" w:pos="9689"/>
      </w:tabs>
      <w:spacing w:after="0" w:line="240" w:lineRule="auto"/>
    </w:pPr>
  </w:style>
  <w:style w:type="paragraph" w:styleId="a5">
    <w:name w:val="footer"/>
    <w:basedOn w:val="a"/>
    <w:link w:val="a6"/>
    <w:uiPriority w:val="99"/>
    <w:semiHidden/>
    <w:rsid w:val="00483F94"/>
    <w:pPr>
      <w:tabs>
        <w:tab w:val="center" w:pos="4844"/>
        <w:tab w:val="right" w:pos="9689"/>
      </w:tabs>
      <w:spacing w:after="0" w:line="240" w:lineRule="auto"/>
    </w:pPr>
  </w:style>
  <w:style w:type="character" w:customStyle="1" w:styleId="a4">
    <w:name w:val="Верхній колонтитул Знак"/>
    <w:basedOn w:val="a0"/>
    <w:link w:val="a3"/>
    <w:uiPriority w:val="99"/>
    <w:locked/>
    <w:rsid w:val="00483F94"/>
    <w:rPr>
      <w:rFonts w:cs="Times New Roman"/>
    </w:rPr>
  </w:style>
  <w:style w:type="paragraph" w:customStyle="1" w:styleId="rvps21">
    <w:name w:val="rvps21"/>
    <w:basedOn w:val="a"/>
    <w:uiPriority w:val="99"/>
    <w:rsid w:val="002D0908"/>
    <w:pPr>
      <w:spacing w:after="94" w:line="240" w:lineRule="auto"/>
      <w:ind w:firstLine="281"/>
      <w:jc w:val="both"/>
    </w:pPr>
    <w:rPr>
      <w:rFonts w:ascii="Times New Roman" w:hAnsi="Times New Roman"/>
      <w:sz w:val="24"/>
      <w:szCs w:val="24"/>
    </w:rPr>
  </w:style>
  <w:style w:type="character" w:customStyle="1" w:styleId="a6">
    <w:name w:val="Нижній колонтитул Знак"/>
    <w:basedOn w:val="a0"/>
    <w:link w:val="a5"/>
    <w:uiPriority w:val="99"/>
    <w:semiHidden/>
    <w:locked/>
    <w:rsid w:val="00483F94"/>
    <w:rPr>
      <w:rFonts w:cs="Times New Roman"/>
    </w:rPr>
  </w:style>
  <w:style w:type="paragraph" w:customStyle="1" w:styleId="a7">
    <w:name w:val="Нормальний текст"/>
    <w:basedOn w:val="a"/>
    <w:uiPriority w:val="99"/>
    <w:rsid w:val="00515ADB"/>
    <w:pPr>
      <w:overflowPunct w:val="0"/>
      <w:autoSpaceDE w:val="0"/>
      <w:autoSpaceDN w:val="0"/>
      <w:adjustRightInd w:val="0"/>
      <w:spacing w:before="120" w:after="0" w:line="240" w:lineRule="auto"/>
      <w:ind w:firstLine="567"/>
      <w:jc w:val="both"/>
      <w:textAlignment w:val="baseline"/>
    </w:pPr>
    <w:rPr>
      <w:rFonts w:ascii="Antiqua" w:eastAsia="Times New Roman" w:hAnsi="Antiqua"/>
      <w:noProof/>
      <w:sz w:val="26"/>
      <w:szCs w:val="20"/>
      <w:lang w:val="ru-RU" w:eastAsia="ru-RU"/>
    </w:rPr>
  </w:style>
  <w:style w:type="paragraph" w:styleId="a8">
    <w:name w:val="Normal (Web)"/>
    <w:aliases w:val="Обычный (веб) Знак,Обычный (веб) Знак2,Обычный (веб) Знак1 Знак,Знак Знак1 Знак,Обычный (веб) Знак Знак Знак,Знак1 Знак1 Знак,Обычный (веб) Знак Знак1,Знак1 Знак Знак1,Знак1 Знак2,Знак21,Обычный (Web),Знак3"/>
    <w:basedOn w:val="a"/>
    <w:link w:val="a9"/>
    <w:uiPriority w:val="99"/>
    <w:rsid w:val="00515AD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9">
    <w:name w:val="Звичайний (веб) Знак"/>
    <w:aliases w:val="Обычный (веб)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 Знак1 Знак,Знак1 Знак2 Знак"/>
    <w:link w:val="a8"/>
    <w:uiPriority w:val="99"/>
    <w:locked/>
    <w:rsid w:val="00515ADB"/>
    <w:rPr>
      <w:rFonts w:eastAsia="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3465">
      <w:marLeft w:val="0"/>
      <w:marRight w:val="0"/>
      <w:marTop w:val="0"/>
      <w:marBottom w:val="0"/>
      <w:divBdr>
        <w:top w:val="none" w:sz="0" w:space="0" w:color="auto"/>
        <w:left w:val="none" w:sz="0" w:space="0" w:color="auto"/>
        <w:bottom w:val="none" w:sz="0" w:space="0" w:color="auto"/>
        <w:right w:val="none" w:sz="0" w:space="0" w:color="auto"/>
      </w:divBdr>
      <w:divsChild>
        <w:div w:id="240333463">
          <w:marLeft w:val="0"/>
          <w:marRight w:val="0"/>
          <w:marTop w:val="0"/>
          <w:marBottom w:val="0"/>
          <w:divBdr>
            <w:top w:val="none" w:sz="0" w:space="0" w:color="auto"/>
            <w:left w:val="none" w:sz="0" w:space="0" w:color="auto"/>
            <w:bottom w:val="none" w:sz="0" w:space="0" w:color="auto"/>
            <w:right w:val="none" w:sz="0" w:space="0" w:color="auto"/>
          </w:divBdr>
        </w:div>
        <w:div w:id="240333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3630</Words>
  <Characters>2070</Characters>
  <DocSecurity>0</DocSecurity>
  <Lines>17</Lines>
  <Paragraphs>11</Paragraphs>
  <ScaleCrop>false</ScaleCrop>
  <HeadingPairs>
    <vt:vector size="2" baseType="variant">
      <vt:variant>
        <vt:lpstr>Назва</vt:lpstr>
      </vt:variant>
      <vt:variant>
        <vt:i4>1</vt:i4>
      </vt:variant>
    </vt:vector>
  </HeadingPairs>
  <TitlesOfParts>
    <vt:vector size="1" baseType="lpstr">
      <vt:lpstr>ПОЯСНЮВАЛЬНА ЗАПИСКА</vt:lpstr>
    </vt:vector>
  </TitlesOfParts>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2019-09-27T10:04:00Z</cp:lastPrinted>
  <dcterms:created xsi:type="dcterms:W3CDTF">2019-12-23T08:42:00Z</dcterms:created>
  <dcterms:modified xsi:type="dcterms:W3CDTF">2019-12-23T08:44:00Z</dcterms:modified>
</cp:coreProperties>
</file>